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DE" w:rsidRPr="001E57EA" w:rsidRDefault="00F35483" w:rsidP="00F35483">
      <w:pPr>
        <w:spacing w:after="160" w:line="259" w:lineRule="auto"/>
        <w:jc w:val="right"/>
        <w:rPr>
          <w:rFonts w:ascii="Arial" w:hAnsi="Arial"/>
          <w:b/>
          <w:lang w:val="bs-Latn-BA"/>
        </w:rPr>
      </w:pPr>
      <w:r w:rsidRPr="00F35483">
        <w:rPr>
          <w:rFonts w:ascii="Arial" w:hAnsi="Arial"/>
          <w:b/>
          <w:lang w:val="bs-Latn-BA"/>
        </w:rPr>
        <w:t>Službene novine Federacije BiH, broj 100/23</w:t>
      </w:r>
      <w:bookmarkStart w:id="0" w:name="_GoBack"/>
      <w:bookmarkEnd w:id="0"/>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Default="00753FDE">
      <w:pPr>
        <w:spacing w:after="160" w:line="259" w:lineRule="auto"/>
        <w:rPr>
          <w:rFonts w:ascii="Arial" w:hAnsi="Arial"/>
          <w:b/>
          <w:lang w:val="bs-Latn-BA"/>
        </w:rPr>
      </w:pPr>
    </w:p>
    <w:p w:rsidR="001E57EA" w:rsidRPr="001E57EA" w:rsidRDefault="001E57EA">
      <w:pPr>
        <w:spacing w:after="160" w:line="259" w:lineRule="auto"/>
        <w:rPr>
          <w:rFonts w:ascii="Arial" w:hAnsi="Arial"/>
          <w:b/>
          <w:lang w:val="bs-Latn-BA"/>
        </w:rPr>
      </w:pPr>
    </w:p>
    <w:p w:rsidR="00AC7208" w:rsidRPr="001E57EA" w:rsidRDefault="00AC7208">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rsidP="00753FDE">
      <w:pPr>
        <w:spacing w:after="160" w:line="259" w:lineRule="auto"/>
        <w:jc w:val="center"/>
        <w:rPr>
          <w:rFonts w:ascii="Arial" w:hAnsi="Arial"/>
          <w:b/>
          <w:sz w:val="44"/>
          <w:szCs w:val="44"/>
          <w:lang w:val="bs-Latn-BA"/>
        </w:rPr>
      </w:pPr>
      <w:r w:rsidRPr="001E57EA">
        <w:rPr>
          <w:rFonts w:ascii="Arial" w:hAnsi="Arial"/>
          <w:b/>
          <w:sz w:val="44"/>
          <w:szCs w:val="44"/>
          <w:lang w:val="bs-Latn-BA"/>
        </w:rPr>
        <w:t xml:space="preserve">Strategija za prevenciju </w:t>
      </w:r>
      <w:r w:rsidR="002257E1" w:rsidRPr="001E57EA">
        <w:rPr>
          <w:rFonts w:ascii="Arial" w:hAnsi="Arial"/>
          <w:b/>
          <w:sz w:val="44"/>
          <w:szCs w:val="44"/>
          <w:lang w:val="bs-Latn-BA"/>
        </w:rPr>
        <w:t xml:space="preserve">i borbu protiv </w:t>
      </w:r>
      <w:r w:rsidRPr="001E57EA">
        <w:rPr>
          <w:rFonts w:ascii="Arial" w:hAnsi="Arial"/>
          <w:b/>
          <w:sz w:val="44"/>
          <w:szCs w:val="44"/>
          <w:lang w:val="bs-Latn-BA"/>
        </w:rPr>
        <w:t>nasilja u porodici 202</w:t>
      </w:r>
      <w:r w:rsidR="007718BC" w:rsidRPr="001E57EA">
        <w:rPr>
          <w:rFonts w:ascii="Arial" w:hAnsi="Arial"/>
          <w:b/>
          <w:sz w:val="44"/>
          <w:szCs w:val="44"/>
          <w:lang w:val="bs-Latn-BA"/>
        </w:rPr>
        <w:t>4</w:t>
      </w:r>
      <w:r w:rsidRPr="001E57EA">
        <w:rPr>
          <w:rFonts w:ascii="Arial" w:hAnsi="Arial"/>
          <w:b/>
          <w:sz w:val="44"/>
          <w:szCs w:val="44"/>
          <w:lang w:val="bs-Latn-BA"/>
        </w:rPr>
        <w:t>-2027</w:t>
      </w:r>
      <w:r w:rsidR="00A61456" w:rsidRPr="001E57EA">
        <w:rPr>
          <w:rFonts w:ascii="Arial" w:hAnsi="Arial"/>
          <w:b/>
          <w:sz w:val="44"/>
          <w:szCs w:val="44"/>
          <w:lang w:val="bs-Latn-BA"/>
        </w:rPr>
        <w:t>.</w:t>
      </w: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AC7208" w:rsidRPr="001E57EA" w:rsidRDefault="00AC7208">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Default="00753FDE">
      <w:pPr>
        <w:spacing w:after="160" w:line="259" w:lineRule="auto"/>
        <w:rPr>
          <w:rFonts w:ascii="Arial" w:hAnsi="Arial"/>
          <w:b/>
          <w:lang w:val="bs-Latn-BA"/>
        </w:rPr>
      </w:pPr>
    </w:p>
    <w:p w:rsidR="001E57EA" w:rsidRPr="001E57EA" w:rsidRDefault="001E57EA">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pPr>
        <w:spacing w:after="160" w:line="259" w:lineRule="auto"/>
        <w:rPr>
          <w:rFonts w:ascii="Arial" w:hAnsi="Arial"/>
          <w:b/>
          <w:lang w:val="bs-Latn-BA"/>
        </w:rPr>
      </w:pPr>
    </w:p>
    <w:p w:rsidR="00753FDE" w:rsidRPr="001E57EA" w:rsidRDefault="00753FDE" w:rsidP="00753FDE">
      <w:pPr>
        <w:spacing w:after="160" w:line="259" w:lineRule="auto"/>
        <w:jc w:val="center"/>
        <w:rPr>
          <w:rFonts w:ascii="Arial" w:hAnsi="Arial"/>
          <w:b/>
          <w:lang w:val="bs-Latn-BA"/>
        </w:rPr>
      </w:pPr>
      <w:r w:rsidRPr="001E57EA">
        <w:rPr>
          <w:rFonts w:ascii="Arial" w:hAnsi="Arial"/>
          <w:b/>
          <w:lang w:val="bs-Latn-BA"/>
        </w:rPr>
        <w:t>Sarajevo, 202</w:t>
      </w:r>
      <w:r w:rsidR="007718BC" w:rsidRPr="001E57EA">
        <w:rPr>
          <w:rFonts w:ascii="Arial" w:hAnsi="Arial"/>
          <w:b/>
          <w:lang w:val="bs-Latn-BA"/>
        </w:rPr>
        <w:t>3</w:t>
      </w:r>
      <w:r w:rsidRPr="001E57EA">
        <w:rPr>
          <w:rFonts w:ascii="Arial" w:hAnsi="Arial"/>
          <w:b/>
          <w:lang w:val="bs-Latn-BA"/>
        </w:rPr>
        <w:t>.</w:t>
      </w:r>
      <w:r w:rsidR="005F6D09" w:rsidRPr="001E57EA">
        <w:rPr>
          <w:rFonts w:ascii="Arial" w:hAnsi="Arial"/>
          <w:b/>
          <w:lang w:val="bs-Latn-BA"/>
        </w:rPr>
        <w:t xml:space="preserve"> godine</w:t>
      </w:r>
    </w:p>
    <w:p w:rsidR="00753FDE" w:rsidRPr="001E57EA" w:rsidRDefault="00753FDE">
      <w:pPr>
        <w:spacing w:after="160" w:line="259" w:lineRule="auto"/>
        <w:rPr>
          <w:rFonts w:ascii="Arial" w:hAnsi="Arial"/>
          <w:b/>
          <w:lang w:val="bs-Latn-BA"/>
        </w:rPr>
      </w:pPr>
      <w:r w:rsidRPr="001E57EA">
        <w:rPr>
          <w:rFonts w:ascii="Arial" w:hAnsi="Arial"/>
          <w:b/>
          <w:lang w:val="bs-Latn-BA"/>
        </w:rPr>
        <w:br w:type="page"/>
      </w:r>
    </w:p>
    <w:p w:rsidR="00753FDE" w:rsidRPr="001E57EA" w:rsidRDefault="00753FDE" w:rsidP="00753FDE">
      <w:pPr>
        <w:spacing w:after="160" w:line="259" w:lineRule="auto"/>
        <w:jc w:val="both"/>
        <w:rPr>
          <w:rFonts w:ascii="Arial" w:hAnsi="Arial"/>
          <w:b/>
          <w:sz w:val="32"/>
          <w:szCs w:val="32"/>
          <w:lang w:val="bs-Latn-BA"/>
        </w:rPr>
      </w:pPr>
      <w:r w:rsidRPr="001E57EA">
        <w:rPr>
          <w:rFonts w:ascii="Arial" w:hAnsi="Arial"/>
          <w:b/>
          <w:sz w:val="32"/>
          <w:szCs w:val="32"/>
          <w:lang w:val="bs-Latn-BA"/>
        </w:rPr>
        <w:lastRenderedPageBreak/>
        <w:t>Sadržaj</w:t>
      </w:r>
    </w:p>
    <w:p w:rsidR="00AD3A75" w:rsidRPr="001E57EA" w:rsidRDefault="00AD3A75">
      <w:pPr>
        <w:pStyle w:val="TOCHeading"/>
        <w:rPr>
          <w:rFonts w:ascii="Arial" w:hAnsi="Arial" w:cs="Arial"/>
          <w:color w:val="auto"/>
          <w:sz w:val="20"/>
          <w:szCs w:val="20"/>
          <w:lang w:val="bs-Latn-BA"/>
        </w:rPr>
      </w:pPr>
    </w:p>
    <w:p w:rsidR="0047455E" w:rsidRPr="001E57EA" w:rsidRDefault="00AD3A75">
      <w:pPr>
        <w:pStyle w:val="TOC1"/>
        <w:tabs>
          <w:tab w:val="left" w:pos="440"/>
          <w:tab w:val="right" w:leader="dot" w:pos="9016"/>
        </w:tabs>
        <w:rPr>
          <w:rFonts w:ascii="Arial" w:eastAsiaTheme="minorEastAsia" w:hAnsi="Arial"/>
          <w:b/>
          <w:noProof/>
          <w:sz w:val="16"/>
          <w:szCs w:val="16"/>
          <w:lang w:val="en-GB" w:eastAsia="en-GB"/>
        </w:rPr>
      </w:pPr>
      <w:r w:rsidRPr="001E57EA">
        <w:rPr>
          <w:rFonts w:ascii="Arial" w:hAnsi="Arial"/>
          <w:sz w:val="16"/>
          <w:szCs w:val="16"/>
        </w:rPr>
        <w:fldChar w:fldCharType="begin"/>
      </w:r>
      <w:r w:rsidRPr="001E57EA">
        <w:rPr>
          <w:rFonts w:ascii="Arial" w:hAnsi="Arial"/>
          <w:sz w:val="16"/>
          <w:szCs w:val="16"/>
          <w:lang w:val="bs-Latn-BA"/>
        </w:rPr>
        <w:instrText xml:space="preserve"> TOC \o "1-3" \h \z \u </w:instrText>
      </w:r>
      <w:r w:rsidRPr="001E57EA">
        <w:rPr>
          <w:rFonts w:ascii="Arial" w:hAnsi="Arial"/>
          <w:sz w:val="16"/>
          <w:szCs w:val="16"/>
        </w:rPr>
        <w:fldChar w:fldCharType="separate"/>
      </w:r>
      <w:hyperlink w:anchor="_Toc145323797" w:history="1">
        <w:r w:rsidR="0047455E" w:rsidRPr="001E57EA">
          <w:rPr>
            <w:rStyle w:val="Hyperlink"/>
            <w:rFonts w:ascii="Arial" w:hAnsi="Arial" w:cs="Arial"/>
            <w:b/>
            <w:noProof/>
            <w:color w:val="auto"/>
            <w:sz w:val="16"/>
            <w:szCs w:val="16"/>
          </w:rPr>
          <w:t>I.</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Uvod</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_Toc145323797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4</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798" w:history="1">
        <w:r w:rsidR="0047455E" w:rsidRPr="001E57EA">
          <w:rPr>
            <w:rStyle w:val="Hyperlink"/>
            <w:rFonts w:ascii="Arial" w:hAnsi="Arial" w:cs="Arial"/>
            <w:b/>
            <w:noProof/>
            <w:color w:val="auto"/>
            <w:sz w:val="16"/>
            <w:szCs w:val="16"/>
          </w:rPr>
          <w:t>II.</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Metodologija izrade Strategije</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_Toc145323798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4</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799" w:history="1">
        <w:r w:rsidR="0047455E" w:rsidRPr="001E57EA">
          <w:rPr>
            <w:rStyle w:val="Hyperlink"/>
            <w:rFonts w:ascii="Arial" w:hAnsi="Arial" w:cs="Arial"/>
            <w:b/>
            <w:noProof/>
            <w:color w:val="auto"/>
            <w:sz w:val="16"/>
            <w:szCs w:val="16"/>
          </w:rPr>
          <w:t>III.</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Usklađenost sa drugim relevantnim dokumentima</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_Toc145323799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6</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800" w:history="1">
        <w:r w:rsidR="0047455E" w:rsidRPr="001E57EA">
          <w:rPr>
            <w:rStyle w:val="Hyperlink"/>
            <w:rFonts w:ascii="Arial" w:hAnsi="Arial" w:cs="Arial"/>
            <w:b/>
            <w:noProof/>
            <w:color w:val="auto"/>
            <w:sz w:val="16"/>
            <w:szCs w:val="16"/>
          </w:rPr>
          <w:t>IV.</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Strateška platforma</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_Toc145323800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7</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noProof/>
          <w:sz w:val="16"/>
          <w:szCs w:val="16"/>
          <w:lang w:val="en-GB" w:eastAsia="en-GB"/>
        </w:rPr>
      </w:pPr>
      <w:hyperlink w:anchor="_Toc145323801" w:history="1">
        <w:r w:rsidR="0047455E" w:rsidRPr="001E57EA">
          <w:rPr>
            <w:rStyle w:val="Hyperlink"/>
            <w:rFonts w:ascii="Arial" w:hAnsi="Arial" w:cs="Arial"/>
            <w:noProof/>
            <w:color w:val="auto"/>
            <w:sz w:val="16"/>
            <w:szCs w:val="16"/>
          </w:rPr>
          <w:t>4.1.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Situaciona analiza (izvod)</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_Toc145323801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7</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02" w:history="1">
        <w:r w:rsidR="0047455E" w:rsidRPr="001E57EA">
          <w:rPr>
            <w:rStyle w:val="Hyperlink"/>
            <w:rFonts w:ascii="Arial" w:hAnsi="Arial" w:cs="Arial"/>
            <w:noProof/>
            <w:color w:val="auto"/>
            <w:sz w:val="16"/>
            <w:szCs w:val="16"/>
          </w:rPr>
          <w:t>4.1.1.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Prevencija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_Toc145323802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8</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03" w:history="1">
        <w:r w:rsidR="0047455E" w:rsidRPr="001E57EA">
          <w:rPr>
            <w:rStyle w:val="Hyperlink"/>
            <w:rFonts w:ascii="Arial" w:hAnsi="Arial" w:cs="Arial"/>
            <w:noProof/>
            <w:color w:val="auto"/>
            <w:sz w:val="16"/>
            <w:szCs w:val="16"/>
            <w:lang w:val="de-DE"/>
          </w:rPr>
          <w:t>4.1.1.1.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de-DE"/>
          </w:rPr>
          <w:t>Faktori rizika za nasilje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_Toc145323803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8</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04" w:history="1">
        <w:r w:rsidR="0047455E" w:rsidRPr="001E57EA">
          <w:rPr>
            <w:rStyle w:val="Hyperlink"/>
            <w:rFonts w:ascii="Arial" w:hAnsi="Arial" w:cs="Arial"/>
            <w:noProof/>
            <w:color w:val="auto"/>
            <w:sz w:val="16"/>
            <w:szCs w:val="16"/>
          </w:rPr>
          <w:t>4.1.1.2.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Okvir za preventivno djelovanje</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_Toc145323804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10</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05" w:history="1">
        <w:r w:rsidR="0047455E" w:rsidRPr="001E57EA">
          <w:rPr>
            <w:rStyle w:val="Hyperlink"/>
            <w:rFonts w:ascii="Arial" w:hAnsi="Arial" w:cs="Arial"/>
            <w:noProof/>
            <w:color w:val="auto"/>
            <w:sz w:val="16"/>
            <w:szCs w:val="16"/>
            <w:lang w:val="bs-Latn-BA"/>
          </w:rPr>
          <w:t>4.1.2.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Zaštita žrtava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_Toc145323805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13</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06" w:history="1">
        <w:r w:rsidR="0047455E" w:rsidRPr="001E57EA">
          <w:rPr>
            <w:rStyle w:val="Hyperlink"/>
            <w:rFonts w:ascii="Arial" w:hAnsi="Arial" w:cs="Arial"/>
            <w:noProof/>
            <w:color w:val="auto"/>
            <w:sz w:val="16"/>
            <w:szCs w:val="16"/>
          </w:rPr>
          <w:t>4.1.2.1.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Zaštitne mjere</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_Toc145323806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13</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07" w:history="1">
        <w:r w:rsidR="0047455E" w:rsidRPr="001E57EA">
          <w:rPr>
            <w:rStyle w:val="Hyperlink"/>
            <w:rFonts w:ascii="Arial" w:hAnsi="Arial" w:cs="Arial"/>
            <w:noProof/>
            <w:color w:val="auto"/>
            <w:sz w:val="16"/>
            <w:szCs w:val="16"/>
            <w:lang w:val="bs-Latn-BA"/>
          </w:rPr>
          <w:t>4.1.2.2.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Socijalna zaštita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_Toc145323807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14</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08" w:history="1">
        <w:r w:rsidR="0047455E" w:rsidRPr="001E57EA">
          <w:rPr>
            <w:rStyle w:val="Hyperlink"/>
            <w:rFonts w:ascii="Arial" w:hAnsi="Arial" w:cs="Arial"/>
            <w:noProof/>
            <w:color w:val="auto"/>
            <w:sz w:val="16"/>
            <w:szCs w:val="16"/>
            <w:lang w:eastAsia="bs-Latn-BA"/>
          </w:rPr>
          <w:t>4.1.2.3.</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shd w:val="clear" w:color="auto" w:fill="FFFFFF"/>
            <w:lang w:eastAsia="bs-Latn-BA"/>
          </w:rPr>
          <w:t>Zdravstvena zaštita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_Toc145323808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15</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09" w:history="1">
        <w:r w:rsidR="0047455E" w:rsidRPr="001E57EA">
          <w:rPr>
            <w:rStyle w:val="Hyperlink"/>
            <w:rFonts w:ascii="Arial" w:hAnsi="Arial" w:cs="Arial"/>
            <w:noProof/>
            <w:color w:val="auto"/>
            <w:sz w:val="16"/>
            <w:szCs w:val="16"/>
            <w:lang w:val="bs-Latn-BA"/>
          </w:rPr>
          <w:t>4.1.2.4.</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Besplatna pravna pomoć</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_Toc145323809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16</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10" w:history="1">
        <w:r w:rsidR="0047455E" w:rsidRPr="001E57EA">
          <w:rPr>
            <w:rStyle w:val="Hyperlink"/>
            <w:rFonts w:ascii="Arial" w:hAnsi="Arial" w:cs="Arial"/>
            <w:noProof/>
            <w:color w:val="auto"/>
            <w:sz w:val="16"/>
            <w:szCs w:val="16"/>
            <w:lang w:val="bs-Latn-BA"/>
          </w:rPr>
          <w:t>4.1.2.5.</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Sigurne kuće</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_Toc145323810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17</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11" w:history="1">
        <w:r w:rsidR="0047455E" w:rsidRPr="001E57EA">
          <w:rPr>
            <w:rStyle w:val="Hyperlink"/>
            <w:rFonts w:ascii="Arial" w:hAnsi="Arial" w:cs="Arial"/>
            <w:noProof/>
            <w:color w:val="auto"/>
            <w:sz w:val="16"/>
            <w:szCs w:val="16"/>
            <w:lang w:val="bs-Latn-BA"/>
          </w:rPr>
          <w:t>4.1.2.6.</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Ostali servisi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_Toc145323811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19</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12" w:history="1">
        <w:r w:rsidR="0047455E" w:rsidRPr="001E57EA">
          <w:rPr>
            <w:rStyle w:val="Hyperlink"/>
            <w:rFonts w:ascii="Arial" w:hAnsi="Arial" w:cs="Arial"/>
            <w:noProof/>
            <w:color w:val="auto"/>
            <w:sz w:val="16"/>
            <w:szCs w:val="16"/>
          </w:rPr>
          <w:t>4.1.3.</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Istražne i pravosudne radnje</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_Toc145323812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20</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13" w:history="1">
        <w:r w:rsidR="0047455E" w:rsidRPr="001E57EA">
          <w:rPr>
            <w:rStyle w:val="Hyperlink"/>
            <w:rFonts w:ascii="Arial" w:hAnsi="Arial" w:cs="Arial"/>
            <w:noProof/>
            <w:color w:val="auto"/>
            <w:sz w:val="16"/>
            <w:szCs w:val="16"/>
            <w:lang w:val="bs-Latn-BA"/>
          </w:rPr>
          <w:t>4.1.3.1.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Postupak zaštite u slučajevima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_Toc145323813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20</w:t>
        </w:r>
        <w:r w:rsidR="0047455E" w:rsidRPr="001E57EA">
          <w:rPr>
            <w:rFonts w:ascii="Arial" w:hAnsi="Arial"/>
            <w:noProof/>
            <w:webHidden/>
            <w:sz w:val="16"/>
            <w:szCs w:val="16"/>
          </w:rPr>
          <w:fldChar w:fldCharType="end"/>
        </w:r>
      </w:hyperlink>
    </w:p>
    <w:p w:rsidR="0047455E" w:rsidRPr="001E57EA" w:rsidRDefault="00544F1E">
      <w:pPr>
        <w:pStyle w:val="TOC1"/>
        <w:tabs>
          <w:tab w:val="left" w:pos="1100"/>
          <w:tab w:val="right" w:leader="dot" w:pos="9016"/>
        </w:tabs>
        <w:rPr>
          <w:rFonts w:ascii="Arial" w:eastAsiaTheme="minorEastAsia" w:hAnsi="Arial"/>
          <w:noProof/>
          <w:sz w:val="16"/>
          <w:szCs w:val="16"/>
          <w:lang w:val="en-GB" w:eastAsia="en-GB"/>
        </w:rPr>
      </w:pPr>
      <w:hyperlink w:anchor="_Toc145323814" w:history="1">
        <w:r w:rsidR="0047455E" w:rsidRPr="001E57EA">
          <w:rPr>
            <w:rStyle w:val="Hyperlink"/>
            <w:rFonts w:ascii="Arial" w:hAnsi="Arial" w:cs="Arial"/>
            <w:noProof/>
            <w:color w:val="auto"/>
            <w:sz w:val="16"/>
            <w:szCs w:val="16"/>
          </w:rPr>
          <w:t>4.1.3.2.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Koordinacija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_Toc145323814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23</w:t>
        </w:r>
        <w:r w:rsidR="0047455E" w:rsidRPr="001E57EA">
          <w:rPr>
            <w:rFonts w:ascii="Arial" w:hAnsi="Arial"/>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815" w:history="1">
        <w:r w:rsidR="0047455E" w:rsidRPr="001E57EA">
          <w:rPr>
            <w:rStyle w:val="Hyperlink"/>
            <w:rFonts w:ascii="Arial" w:hAnsi="Arial" w:cs="Arial"/>
            <w:b/>
            <w:noProof/>
            <w:color w:val="auto"/>
            <w:sz w:val="16"/>
            <w:szCs w:val="16"/>
          </w:rPr>
          <w:t>V.</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Vizija Strategije</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_Toc145323815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24</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816" w:history="1">
        <w:r w:rsidR="0047455E" w:rsidRPr="001E57EA">
          <w:rPr>
            <w:rStyle w:val="Hyperlink"/>
            <w:rFonts w:ascii="Arial" w:hAnsi="Arial" w:cs="Arial"/>
            <w:b/>
            <w:noProof/>
            <w:color w:val="auto"/>
            <w:sz w:val="16"/>
            <w:szCs w:val="16"/>
          </w:rPr>
          <w:t>VI.</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SWOT analiza</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_Toc145323816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24</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817" w:history="1">
        <w:r w:rsidR="0047455E" w:rsidRPr="001E57EA">
          <w:rPr>
            <w:rStyle w:val="Hyperlink"/>
            <w:rFonts w:ascii="Arial" w:hAnsi="Arial" w:cs="Arial"/>
            <w:b/>
            <w:noProof/>
            <w:color w:val="auto"/>
            <w:sz w:val="16"/>
            <w:szCs w:val="16"/>
          </w:rPr>
          <w:t>VII.</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Strateški cilj: Smanjiti nasilje u porodici</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_Toc145323817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25</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noProof/>
          <w:sz w:val="16"/>
          <w:szCs w:val="16"/>
          <w:lang w:val="en-GB" w:eastAsia="en-GB"/>
        </w:rPr>
      </w:pPr>
      <w:hyperlink w:anchor="_Toc145323818" w:history="1">
        <w:r w:rsidR="0047455E" w:rsidRPr="001E57EA">
          <w:rPr>
            <w:rStyle w:val="Hyperlink"/>
            <w:rFonts w:ascii="Arial" w:hAnsi="Arial" w:cs="Arial"/>
            <w:noProof/>
            <w:color w:val="auto"/>
            <w:sz w:val="16"/>
            <w:szCs w:val="16"/>
          </w:rPr>
          <w:t>7.1.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Prioritet 1: Poboljšati sistemsku prevenciju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_Toc145323818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25</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19" w:history="1">
        <w:r w:rsidR="0047455E" w:rsidRPr="001E57EA">
          <w:rPr>
            <w:rStyle w:val="Hyperlink"/>
            <w:rFonts w:ascii="Arial" w:hAnsi="Arial" w:cs="Arial"/>
            <w:noProof/>
            <w:color w:val="auto"/>
            <w:sz w:val="16"/>
            <w:szCs w:val="16"/>
          </w:rPr>
          <w:t>7.1.1.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Mjera: Promocija tolerancije, nenasilja i rodne ravnopravnosti u porodici i društvu</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_Toc145323819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26</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20" w:history="1">
        <w:r w:rsidR="0047455E" w:rsidRPr="001E57EA">
          <w:rPr>
            <w:rStyle w:val="Hyperlink"/>
            <w:rFonts w:ascii="Arial" w:hAnsi="Arial" w:cs="Arial"/>
            <w:noProof/>
            <w:color w:val="auto"/>
            <w:sz w:val="16"/>
            <w:szCs w:val="16"/>
            <w:lang w:val="bs-Latn-BA"/>
          </w:rPr>
          <w:t>7.1.2.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Mjera: Razvijati mehanizme ranog prepoznavanja nasilja i otklanjanja faktora rizika za nasilje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_Toc145323820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27</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21" w:history="1">
        <w:r w:rsidR="0047455E" w:rsidRPr="001E57EA">
          <w:rPr>
            <w:rStyle w:val="Hyperlink"/>
            <w:rFonts w:ascii="Arial" w:hAnsi="Arial" w:cs="Arial"/>
            <w:noProof/>
            <w:color w:val="auto"/>
            <w:sz w:val="16"/>
            <w:szCs w:val="16"/>
          </w:rPr>
          <w:t>7.1.3.</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Mjera: Unaprijediti proces praćenja primjene propisa i usklađivanja sa stvarnim potrebama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_Toc145323821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28</w:t>
        </w:r>
        <w:r w:rsidR="0047455E" w:rsidRPr="001E57EA">
          <w:rPr>
            <w:rFonts w:ascii="Arial" w:hAnsi="Arial"/>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noProof/>
          <w:sz w:val="16"/>
          <w:szCs w:val="16"/>
          <w:lang w:val="en-GB" w:eastAsia="en-GB"/>
        </w:rPr>
      </w:pPr>
      <w:hyperlink w:anchor="_Toc145323822" w:history="1">
        <w:r w:rsidR="0047455E" w:rsidRPr="001E57EA">
          <w:rPr>
            <w:rStyle w:val="Hyperlink"/>
            <w:rFonts w:ascii="Arial" w:hAnsi="Arial" w:cs="Arial"/>
            <w:noProof/>
            <w:color w:val="auto"/>
            <w:sz w:val="16"/>
            <w:szCs w:val="16"/>
          </w:rPr>
          <w:t>7.2.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Prioritet 2: Unaprijediti sistem sveobuhvatne i efikasne zaštite žrtava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_Toc145323822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28</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23" w:history="1">
        <w:r w:rsidR="0047455E" w:rsidRPr="001E57EA">
          <w:rPr>
            <w:rStyle w:val="Hyperlink"/>
            <w:rFonts w:ascii="Arial" w:hAnsi="Arial" w:cs="Arial"/>
            <w:noProof/>
            <w:color w:val="auto"/>
            <w:sz w:val="16"/>
            <w:szCs w:val="16"/>
          </w:rPr>
          <w:t>7.2.1.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Mjera: Unapređenje zaštite žrtava nasilja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_Toc145323823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29</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24" w:history="1">
        <w:r w:rsidR="0047455E" w:rsidRPr="001E57EA">
          <w:rPr>
            <w:rStyle w:val="Hyperlink"/>
            <w:rFonts w:ascii="Arial" w:hAnsi="Arial" w:cs="Arial"/>
            <w:noProof/>
            <w:color w:val="auto"/>
            <w:sz w:val="16"/>
            <w:szCs w:val="16"/>
          </w:rPr>
          <w:t>7.2.2.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Mjera: Unapređenje podrške žrtvama nasilja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_Toc145323824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29</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25" w:history="1">
        <w:r w:rsidR="0047455E" w:rsidRPr="001E57EA">
          <w:rPr>
            <w:rStyle w:val="Hyperlink"/>
            <w:rFonts w:ascii="Arial" w:hAnsi="Arial" w:cs="Arial"/>
            <w:noProof/>
            <w:color w:val="auto"/>
            <w:sz w:val="16"/>
            <w:szCs w:val="16"/>
            <w:lang w:val="bs-Latn-BA"/>
          </w:rPr>
          <w:t>7.2.3.</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Mjera: Unapređenje rada sa počiniocima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_Toc145323825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30</w:t>
        </w:r>
        <w:r w:rsidR="0047455E" w:rsidRPr="001E57EA">
          <w:rPr>
            <w:rFonts w:ascii="Arial" w:hAnsi="Arial"/>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noProof/>
          <w:sz w:val="16"/>
          <w:szCs w:val="16"/>
          <w:lang w:val="en-GB" w:eastAsia="en-GB"/>
        </w:rPr>
      </w:pPr>
      <w:hyperlink w:anchor="_Toc145323826" w:history="1">
        <w:r w:rsidR="0047455E" w:rsidRPr="001E57EA">
          <w:rPr>
            <w:rStyle w:val="Hyperlink"/>
            <w:rFonts w:ascii="Arial" w:hAnsi="Arial" w:cs="Arial"/>
            <w:noProof/>
            <w:color w:val="auto"/>
            <w:sz w:val="16"/>
            <w:szCs w:val="16"/>
          </w:rPr>
          <w:t>7.3.</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Prioritet 3: Unaprijediti istražne i pravosudne radnje u slučajevima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_Toc145323826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31</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27" w:history="1">
        <w:r w:rsidR="0047455E" w:rsidRPr="001E57EA">
          <w:rPr>
            <w:rStyle w:val="Hyperlink"/>
            <w:rFonts w:ascii="Arial" w:hAnsi="Arial" w:cs="Arial"/>
            <w:noProof/>
            <w:color w:val="auto"/>
            <w:sz w:val="16"/>
            <w:szCs w:val="16"/>
            <w:lang w:val="bs-Latn-BA"/>
          </w:rPr>
          <w:t>7.3.1.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Mjera: Poboljšati uvjete za žrtve nasilja, djecu žrtava i svjedoke tokom istražnih i pravosudnih radnji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_Toc145323827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32</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noProof/>
          <w:sz w:val="16"/>
          <w:szCs w:val="16"/>
          <w:lang w:val="en-GB" w:eastAsia="en-GB"/>
        </w:rPr>
      </w:pPr>
      <w:hyperlink w:anchor="_Toc145323828" w:history="1">
        <w:r w:rsidR="0047455E" w:rsidRPr="001E57EA">
          <w:rPr>
            <w:rStyle w:val="Hyperlink"/>
            <w:rFonts w:ascii="Arial" w:hAnsi="Arial" w:cs="Arial"/>
            <w:noProof/>
            <w:color w:val="auto"/>
            <w:sz w:val="16"/>
            <w:szCs w:val="16"/>
            <w:lang w:val="bs-Latn-BA"/>
          </w:rPr>
          <w:t>7.3.2.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lang w:val="bs-Latn-BA"/>
          </w:rPr>
          <w:t>Mjera: Poboljšati efikasnost rada službenih lica u slučajevima nasilja u porodici</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_Toc145323828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33</w:t>
        </w:r>
        <w:r w:rsidR="0047455E" w:rsidRPr="001E57EA">
          <w:rPr>
            <w:rFonts w:ascii="Arial" w:hAnsi="Arial"/>
            <w:noProof/>
            <w:webHidden/>
            <w:sz w:val="16"/>
            <w:szCs w:val="16"/>
          </w:rPr>
          <w:fldChar w:fldCharType="end"/>
        </w:r>
      </w:hyperlink>
    </w:p>
    <w:p w:rsidR="0047455E" w:rsidRPr="001E57EA" w:rsidRDefault="00544F1E">
      <w:pPr>
        <w:pStyle w:val="TOC1"/>
        <w:tabs>
          <w:tab w:val="left" w:pos="880"/>
          <w:tab w:val="right" w:leader="dot" w:pos="9016"/>
        </w:tabs>
        <w:rPr>
          <w:rFonts w:ascii="Arial" w:eastAsiaTheme="minorEastAsia" w:hAnsi="Arial"/>
          <w:b/>
          <w:noProof/>
          <w:sz w:val="16"/>
          <w:szCs w:val="16"/>
          <w:lang w:val="en-GB" w:eastAsia="en-GB"/>
        </w:rPr>
      </w:pPr>
      <w:hyperlink w:anchor="_Toc145323829" w:history="1">
        <w:r w:rsidR="0047455E" w:rsidRPr="001E57EA">
          <w:rPr>
            <w:rStyle w:val="Hyperlink"/>
            <w:rFonts w:ascii="Arial" w:hAnsi="Arial" w:cs="Arial"/>
            <w:b/>
            <w:noProof/>
            <w:color w:val="auto"/>
            <w:sz w:val="16"/>
            <w:szCs w:val="16"/>
          </w:rPr>
          <w:t>VIII.</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Indikativni finansijski okvir</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_Toc145323829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34</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830" w:history="1">
        <w:r w:rsidR="0047455E" w:rsidRPr="001E57EA">
          <w:rPr>
            <w:rStyle w:val="Hyperlink"/>
            <w:rFonts w:ascii="Arial" w:hAnsi="Arial" w:cs="Arial"/>
            <w:b/>
            <w:noProof/>
            <w:color w:val="auto"/>
            <w:sz w:val="16"/>
            <w:szCs w:val="16"/>
          </w:rPr>
          <w:t>IX.</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Evaluacija, implementacija, monitoring i izvještavanje</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_Toc145323830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35</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noProof/>
          <w:sz w:val="16"/>
          <w:szCs w:val="16"/>
          <w:lang w:val="en-GB" w:eastAsia="en-GB"/>
        </w:rPr>
      </w:pPr>
      <w:hyperlink w:anchor="_Toc145323831" w:history="1">
        <w:r w:rsidR="0047455E" w:rsidRPr="001E57EA">
          <w:rPr>
            <w:rStyle w:val="Hyperlink"/>
            <w:rFonts w:ascii="Arial" w:hAnsi="Arial" w:cs="Arial"/>
            <w:noProof/>
            <w:color w:val="auto"/>
            <w:sz w:val="16"/>
            <w:szCs w:val="16"/>
          </w:rPr>
          <w:t>9.1.</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Evaluacija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_Toc145323831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35</w:t>
        </w:r>
        <w:r w:rsidR="0047455E" w:rsidRPr="001E57EA">
          <w:rPr>
            <w:rFonts w:ascii="Arial" w:hAnsi="Arial"/>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noProof/>
          <w:sz w:val="16"/>
          <w:szCs w:val="16"/>
          <w:lang w:val="en-GB" w:eastAsia="en-GB"/>
        </w:rPr>
      </w:pPr>
      <w:hyperlink w:anchor="_Toc145323832" w:history="1">
        <w:r w:rsidR="0047455E" w:rsidRPr="001E57EA">
          <w:rPr>
            <w:rStyle w:val="Hyperlink"/>
            <w:rFonts w:ascii="Arial" w:hAnsi="Arial" w:cs="Arial"/>
            <w:noProof/>
            <w:color w:val="auto"/>
            <w:sz w:val="16"/>
            <w:szCs w:val="16"/>
          </w:rPr>
          <w:t>9.2.</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Implementacija</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_Toc145323832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35</w:t>
        </w:r>
        <w:r w:rsidR="0047455E" w:rsidRPr="001E57EA">
          <w:rPr>
            <w:rFonts w:ascii="Arial" w:hAnsi="Arial"/>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noProof/>
          <w:sz w:val="16"/>
          <w:szCs w:val="16"/>
          <w:lang w:val="en-GB" w:eastAsia="en-GB"/>
        </w:rPr>
      </w:pPr>
      <w:hyperlink w:anchor="_Toc145323833" w:history="1">
        <w:r w:rsidR="0047455E" w:rsidRPr="001E57EA">
          <w:rPr>
            <w:rStyle w:val="Hyperlink"/>
            <w:rFonts w:ascii="Arial" w:hAnsi="Arial" w:cs="Arial"/>
            <w:noProof/>
            <w:color w:val="auto"/>
            <w:sz w:val="16"/>
            <w:szCs w:val="16"/>
          </w:rPr>
          <w:t>9.3.</w:t>
        </w:r>
        <w:r w:rsidR="0047455E" w:rsidRPr="001E57EA">
          <w:rPr>
            <w:rFonts w:ascii="Arial" w:eastAsiaTheme="minorEastAsia" w:hAnsi="Arial"/>
            <w:noProof/>
            <w:sz w:val="16"/>
            <w:szCs w:val="16"/>
            <w:lang w:val="en-GB" w:eastAsia="en-GB"/>
          </w:rPr>
          <w:tab/>
        </w:r>
        <w:r w:rsidR="0047455E" w:rsidRPr="001E57EA">
          <w:rPr>
            <w:rStyle w:val="Hyperlink"/>
            <w:rFonts w:ascii="Arial" w:hAnsi="Arial" w:cs="Arial"/>
            <w:noProof/>
            <w:color w:val="auto"/>
            <w:sz w:val="16"/>
            <w:szCs w:val="16"/>
          </w:rPr>
          <w:t>Monitoring i izvještavanje</w:t>
        </w:r>
        <w:r w:rsidR="0047455E" w:rsidRPr="001E57EA">
          <w:rPr>
            <w:rFonts w:ascii="Arial" w:hAnsi="Arial"/>
            <w:noProof/>
            <w:webHidden/>
            <w:sz w:val="16"/>
            <w:szCs w:val="16"/>
          </w:rPr>
          <w:tab/>
        </w:r>
        <w:r w:rsidR="0047455E" w:rsidRPr="001E57EA">
          <w:rPr>
            <w:rFonts w:ascii="Arial" w:hAnsi="Arial"/>
            <w:noProof/>
            <w:webHidden/>
            <w:sz w:val="16"/>
            <w:szCs w:val="16"/>
          </w:rPr>
          <w:fldChar w:fldCharType="begin"/>
        </w:r>
        <w:r w:rsidR="0047455E" w:rsidRPr="001E57EA">
          <w:rPr>
            <w:rFonts w:ascii="Arial" w:hAnsi="Arial"/>
            <w:noProof/>
            <w:webHidden/>
            <w:sz w:val="16"/>
            <w:szCs w:val="16"/>
          </w:rPr>
          <w:instrText xml:space="preserve"> PAGEREF _Toc145323833 \h </w:instrText>
        </w:r>
        <w:r w:rsidR="0047455E" w:rsidRPr="001E57EA">
          <w:rPr>
            <w:rFonts w:ascii="Arial" w:hAnsi="Arial"/>
            <w:noProof/>
            <w:webHidden/>
            <w:sz w:val="16"/>
            <w:szCs w:val="16"/>
          </w:rPr>
        </w:r>
        <w:r w:rsidR="0047455E" w:rsidRPr="001E57EA">
          <w:rPr>
            <w:rFonts w:ascii="Arial" w:hAnsi="Arial"/>
            <w:noProof/>
            <w:webHidden/>
            <w:sz w:val="16"/>
            <w:szCs w:val="16"/>
          </w:rPr>
          <w:fldChar w:fldCharType="separate"/>
        </w:r>
        <w:r w:rsidR="00805D8D">
          <w:rPr>
            <w:rFonts w:ascii="Arial" w:hAnsi="Arial"/>
            <w:noProof/>
            <w:webHidden/>
            <w:sz w:val="16"/>
            <w:szCs w:val="16"/>
          </w:rPr>
          <w:t>36</w:t>
        </w:r>
        <w:r w:rsidR="0047455E" w:rsidRPr="001E57EA">
          <w:rPr>
            <w:rFonts w:ascii="Arial" w:hAnsi="Arial"/>
            <w:noProof/>
            <w:webHidden/>
            <w:sz w:val="16"/>
            <w:szCs w:val="16"/>
          </w:rPr>
          <w:fldChar w:fldCharType="end"/>
        </w:r>
      </w:hyperlink>
    </w:p>
    <w:p w:rsidR="0047455E" w:rsidRPr="001E57EA" w:rsidRDefault="00544F1E">
      <w:pPr>
        <w:pStyle w:val="TOC1"/>
        <w:tabs>
          <w:tab w:val="left" w:pos="660"/>
          <w:tab w:val="right" w:leader="dot" w:pos="9016"/>
        </w:tabs>
        <w:rPr>
          <w:rFonts w:ascii="Arial" w:eastAsiaTheme="minorEastAsia" w:hAnsi="Arial"/>
          <w:b/>
          <w:noProof/>
          <w:sz w:val="16"/>
          <w:szCs w:val="16"/>
          <w:lang w:val="en-GB" w:eastAsia="en-GB"/>
        </w:rPr>
      </w:pPr>
      <w:hyperlink w:anchor="_Toc145323834" w:history="1">
        <w:r w:rsidR="0047455E" w:rsidRPr="001E57EA">
          <w:rPr>
            <w:rStyle w:val="Hyperlink"/>
            <w:rFonts w:ascii="Arial" w:hAnsi="Arial" w:cs="Arial"/>
            <w:b/>
            <w:noProof/>
            <w:color w:val="auto"/>
            <w:sz w:val="16"/>
            <w:szCs w:val="16"/>
          </w:rPr>
          <w:t>X.</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Sažeti pregled strateškog dokumenta</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_Toc145323834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37</w:t>
        </w:r>
        <w:r w:rsidR="0047455E" w:rsidRPr="001E57EA">
          <w:rPr>
            <w:rFonts w:ascii="Arial" w:hAnsi="Arial"/>
            <w:b/>
            <w:noProof/>
            <w:webHidden/>
            <w:sz w:val="16"/>
            <w:szCs w:val="16"/>
          </w:rPr>
          <w:fldChar w:fldCharType="end"/>
        </w:r>
      </w:hyperlink>
    </w:p>
    <w:p w:rsidR="0047455E" w:rsidRPr="001E57EA" w:rsidRDefault="00544F1E">
      <w:pPr>
        <w:pStyle w:val="TOC1"/>
        <w:tabs>
          <w:tab w:val="left" w:pos="660"/>
          <w:tab w:val="right" w:leader="dot" w:pos="9016"/>
        </w:tabs>
        <w:rPr>
          <w:rFonts w:asciiTheme="minorHAnsi" w:eastAsiaTheme="minorEastAsia" w:hAnsiTheme="minorHAnsi" w:cstheme="minorBidi"/>
          <w:b/>
          <w:noProof/>
          <w:sz w:val="22"/>
          <w:lang w:val="en-GB" w:eastAsia="en-GB"/>
        </w:rPr>
      </w:pPr>
      <w:hyperlink w:anchor="_Toc145323835" w:history="1">
        <w:r w:rsidR="0047455E" w:rsidRPr="001E57EA">
          <w:rPr>
            <w:rStyle w:val="Hyperlink"/>
            <w:rFonts w:ascii="Arial" w:hAnsi="Arial" w:cs="Arial"/>
            <w:b/>
            <w:noProof/>
            <w:color w:val="auto"/>
            <w:sz w:val="16"/>
            <w:szCs w:val="16"/>
          </w:rPr>
          <w:t>XI.</w:t>
        </w:r>
        <w:r w:rsidR="0047455E" w:rsidRPr="001E57EA">
          <w:rPr>
            <w:rFonts w:ascii="Arial" w:eastAsiaTheme="minorEastAsia" w:hAnsi="Arial"/>
            <w:b/>
            <w:noProof/>
            <w:sz w:val="16"/>
            <w:szCs w:val="16"/>
            <w:lang w:val="en-GB" w:eastAsia="en-GB"/>
          </w:rPr>
          <w:tab/>
        </w:r>
        <w:r w:rsidR="0047455E" w:rsidRPr="001E57EA">
          <w:rPr>
            <w:rStyle w:val="Hyperlink"/>
            <w:rFonts w:ascii="Arial" w:hAnsi="Arial" w:cs="Arial"/>
            <w:b/>
            <w:noProof/>
            <w:color w:val="auto"/>
            <w:sz w:val="16"/>
            <w:szCs w:val="16"/>
          </w:rPr>
          <w:t>Sažeti pregled mjera</w:t>
        </w:r>
        <w:r w:rsidR="0047455E" w:rsidRPr="001E57EA">
          <w:rPr>
            <w:rFonts w:ascii="Arial" w:hAnsi="Arial"/>
            <w:b/>
            <w:noProof/>
            <w:webHidden/>
            <w:sz w:val="16"/>
            <w:szCs w:val="16"/>
          </w:rPr>
          <w:tab/>
        </w:r>
        <w:r w:rsidR="0047455E" w:rsidRPr="001E57EA">
          <w:rPr>
            <w:rFonts w:ascii="Arial" w:hAnsi="Arial"/>
            <w:b/>
            <w:noProof/>
            <w:webHidden/>
            <w:sz w:val="16"/>
            <w:szCs w:val="16"/>
          </w:rPr>
          <w:fldChar w:fldCharType="begin"/>
        </w:r>
        <w:r w:rsidR="0047455E" w:rsidRPr="001E57EA">
          <w:rPr>
            <w:rFonts w:ascii="Arial" w:hAnsi="Arial"/>
            <w:b/>
            <w:noProof/>
            <w:webHidden/>
            <w:sz w:val="16"/>
            <w:szCs w:val="16"/>
          </w:rPr>
          <w:instrText xml:space="preserve"> PAGEREF _Toc145323835 \h </w:instrText>
        </w:r>
        <w:r w:rsidR="0047455E" w:rsidRPr="001E57EA">
          <w:rPr>
            <w:rFonts w:ascii="Arial" w:hAnsi="Arial"/>
            <w:b/>
            <w:noProof/>
            <w:webHidden/>
            <w:sz w:val="16"/>
            <w:szCs w:val="16"/>
          </w:rPr>
        </w:r>
        <w:r w:rsidR="0047455E" w:rsidRPr="001E57EA">
          <w:rPr>
            <w:rFonts w:ascii="Arial" w:hAnsi="Arial"/>
            <w:b/>
            <w:noProof/>
            <w:webHidden/>
            <w:sz w:val="16"/>
            <w:szCs w:val="16"/>
          </w:rPr>
          <w:fldChar w:fldCharType="separate"/>
        </w:r>
        <w:r w:rsidR="00805D8D">
          <w:rPr>
            <w:rFonts w:ascii="Arial" w:hAnsi="Arial"/>
            <w:b/>
            <w:noProof/>
            <w:webHidden/>
            <w:sz w:val="16"/>
            <w:szCs w:val="16"/>
          </w:rPr>
          <w:t>40</w:t>
        </w:r>
        <w:r w:rsidR="0047455E" w:rsidRPr="001E57EA">
          <w:rPr>
            <w:rFonts w:ascii="Arial" w:hAnsi="Arial"/>
            <w:b/>
            <w:noProof/>
            <w:webHidden/>
            <w:sz w:val="16"/>
            <w:szCs w:val="16"/>
          </w:rPr>
          <w:fldChar w:fldCharType="end"/>
        </w:r>
      </w:hyperlink>
    </w:p>
    <w:p w:rsidR="00AD3A75" w:rsidRPr="001E57EA" w:rsidRDefault="00AD3A75">
      <w:pPr>
        <w:rPr>
          <w:rFonts w:ascii="Arial" w:hAnsi="Arial"/>
        </w:rPr>
      </w:pPr>
      <w:r w:rsidRPr="001E57EA">
        <w:rPr>
          <w:rFonts w:ascii="Arial" w:hAnsi="Arial"/>
          <w:b/>
          <w:bCs/>
          <w:noProof/>
          <w:sz w:val="16"/>
          <w:szCs w:val="16"/>
        </w:rPr>
        <w:fldChar w:fldCharType="end"/>
      </w:r>
    </w:p>
    <w:p w:rsidR="00DB60D1" w:rsidRPr="001E57EA" w:rsidRDefault="00753FDE" w:rsidP="00987169">
      <w:pPr>
        <w:spacing w:after="160" w:line="259" w:lineRule="auto"/>
        <w:jc w:val="both"/>
        <w:rPr>
          <w:rFonts w:ascii="Arial" w:hAnsi="Arial"/>
          <w:b/>
        </w:rPr>
      </w:pPr>
      <w:r w:rsidRPr="001E57EA">
        <w:rPr>
          <w:rFonts w:ascii="Arial" w:hAnsi="Arial"/>
          <w:b/>
          <w:lang w:val="bs-Latn-BA"/>
        </w:rPr>
        <w:br w:type="page"/>
      </w:r>
      <w:r w:rsidR="00DB60D1" w:rsidRPr="001E57EA">
        <w:rPr>
          <w:rFonts w:ascii="Arial" w:hAnsi="Arial"/>
          <w:b/>
        </w:rPr>
        <w:lastRenderedPageBreak/>
        <w:t>Lista skraćenica</w:t>
      </w:r>
    </w:p>
    <w:p w:rsidR="009A623D" w:rsidRPr="001E57EA" w:rsidRDefault="009A623D" w:rsidP="009A623D">
      <w:pPr>
        <w:pStyle w:val="TekstStrategija"/>
      </w:pPr>
    </w:p>
    <w:p w:rsidR="00DB60D1" w:rsidRPr="001E57EA" w:rsidRDefault="00DB60D1" w:rsidP="009A623D">
      <w:pPr>
        <w:pStyle w:val="TekstStrategija"/>
        <w:spacing w:line="360" w:lineRule="auto"/>
        <w:rPr>
          <w:szCs w:val="24"/>
        </w:rPr>
      </w:pPr>
      <w:r w:rsidRPr="001E57EA">
        <w:rPr>
          <w:b/>
          <w:szCs w:val="24"/>
        </w:rPr>
        <w:t>BHEVAL</w:t>
      </w:r>
      <w:r w:rsidRPr="001E57EA">
        <w:rPr>
          <w:szCs w:val="24"/>
        </w:rPr>
        <w:t xml:space="preserve"> - Udruženje Evaluatora u Bosni i Hercegovini</w:t>
      </w:r>
    </w:p>
    <w:p w:rsidR="00DB60D1" w:rsidRPr="001E57EA" w:rsidRDefault="00DB60D1" w:rsidP="009A623D">
      <w:pPr>
        <w:pStyle w:val="TekstStrategija"/>
        <w:spacing w:line="360" w:lineRule="auto"/>
        <w:rPr>
          <w:szCs w:val="24"/>
        </w:rPr>
      </w:pPr>
      <w:r w:rsidRPr="001E57EA">
        <w:rPr>
          <w:b/>
          <w:szCs w:val="24"/>
        </w:rPr>
        <w:t>CEDAW</w:t>
      </w:r>
      <w:r w:rsidRPr="001E57EA">
        <w:rPr>
          <w:szCs w:val="24"/>
        </w:rPr>
        <w:t xml:space="preserve"> - Konvencija o eliminaciji svih oblika diskriminacije žena</w:t>
      </w:r>
    </w:p>
    <w:p w:rsidR="00DB60D1" w:rsidRPr="001E57EA" w:rsidRDefault="00DB60D1" w:rsidP="009A623D">
      <w:pPr>
        <w:pStyle w:val="TekstStrategija"/>
        <w:spacing w:line="360" w:lineRule="auto"/>
        <w:rPr>
          <w:szCs w:val="24"/>
        </w:rPr>
      </w:pPr>
      <w:r w:rsidRPr="001E57EA">
        <w:rPr>
          <w:b/>
          <w:szCs w:val="24"/>
        </w:rPr>
        <w:t>CEST</w:t>
      </w:r>
      <w:r w:rsidRPr="001E57EA">
        <w:rPr>
          <w:szCs w:val="24"/>
        </w:rPr>
        <w:t xml:space="preserve"> – Centar za edukaciju sudija </w:t>
      </w:r>
      <w:r w:rsidR="005F6D09" w:rsidRPr="001E57EA">
        <w:rPr>
          <w:szCs w:val="24"/>
        </w:rPr>
        <w:t xml:space="preserve">i </w:t>
      </w:r>
      <w:r w:rsidRPr="001E57EA">
        <w:rPr>
          <w:szCs w:val="24"/>
        </w:rPr>
        <w:t>tužilaca</w:t>
      </w:r>
    </w:p>
    <w:p w:rsidR="00DB60D1" w:rsidRPr="001E57EA" w:rsidRDefault="00DB60D1" w:rsidP="009A623D">
      <w:pPr>
        <w:pStyle w:val="TekstStrategija"/>
        <w:spacing w:line="360" w:lineRule="auto"/>
        <w:rPr>
          <w:szCs w:val="24"/>
        </w:rPr>
      </w:pPr>
      <w:r w:rsidRPr="001E57EA">
        <w:rPr>
          <w:b/>
          <w:szCs w:val="24"/>
        </w:rPr>
        <w:t>DOB</w:t>
      </w:r>
      <w:r w:rsidRPr="001E57EA">
        <w:rPr>
          <w:szCs w:val="24"/>
        </w:rPr>
        <w:t xml:space="preserve"> - Dokument okvirnog budžeta</w:t>
      </w:r>
    </w:p>
    <w:p w:rsidR="00DB60D1" w:rsidRPr="001E57EA" w:rsidRDefault="00DB60D1" w:rsidP="009A623D">
      <w:pPr>
        <w:pStyle w:val="TekstStrategija"/>
        <w:spacing w:line="360" w:lineRule="auto"/>
        <w:rPr>
          <w:szCs w:val="24"/>
        </w:rPr>
      </w:pPr>
      <w:r w:rsidRPr="001E57EA">
        <w:rPr>
          <w:b/>
          <w:szCs w:val="24"/>
        </w:rPr>
        <w:t xml:space="preserve">Ex-ante evaluacija </w:t>
      </w:r>
      <w:r w:rsidRPr="001E57EA">
        <w:rPr>
          <w:szCs w:val="24"/>
        </w:rPr>
        <w:t>- Evaluacija koja se radi u fazi izrade strateških dokume</w:t>
      </w:r>
      <w:r w:rsidR="009A623D" w:rsidRPr="001E57EA">
        <w:rPr>
          <w:szCs w:val="24"/>
        </w:rPr>
        <w:t>nata, prije usvajanja</w:t>
      </w:r>
    </w:p>
    <w:p w:rsidR="00DB60D1" w:rsidRPr="001E57EA" w:rsidRDefault="00DB60D1" w:rsidP="009A623D">
      <w:pPr>
        <w:pStyle w:val="TekstStrategija"/>
        <w:spacing w:line="360" w:lineRule="auto"/>
        <w:rPr>
          <w:szCs w:val="24"/>
        </w:rPr>
      </w:pPr>
      <w:r w:rsidRPr="001E57EA">
        <w:rPr>
          <w:b/>
          <w:szCs w:val="24"/>
        </w:rPr>
        <w:t>FMON</w:t>
      </w:r>
      <w:r w:rsidRPr="001E57EA">
        <w:rPr>
          <w:szCs w:val="24"/>
        </w:rPr>
        <w:t xml:space="preserve"> - Federalno ministarstvo obrazovanja i nauke</w:t>
      </w:r>
    </w:p>
    <w:p w:rsidR="00DB60D1" w:rsidRPr="001E57EA" w:rsidRDefault="00DB60D1" w:rsidP="009A623D">
      <w:pPr>
        <w:pStyle w:val="TekstStrategija"/>
        <w:spacing w:line="360" w:lineRule="auto"/>
        <w:rPr>
          <w:szCs w:val="24"/>
        </w:rPr>
      </w:pPr>
      <w:r w:rsidRPr="001E57EA">
        <w:rPr>
          <w:b/>
          <w:szCs w:val="24"/>
        </w:rPr>
        <w:t>FMP</w:t>
      </w:r>
      <w:r w:rsidRPr="001E57EA">
        <w:rPr>
          <w:szCs w:val="24"/>
        </w:rPr>
        <w:t xml:space="preserve"> - Federalno ministarstvo pravde</w:t>
      </w:r>
    </w:p>
    <w:p w:rsidR="00DB60D1" w:rsidRPr="001E57EA" w:rsidRDefault="00DB60D1" w:rsidP="009A623D">
      <w:pPr>
        <w:pStyle w:val="TekstStrategija"/>
        <w:spacing w:line="360" w:lineRule="auto"/>
        <w:rPr>
          <w:szCs w:val="24"/>
        </w:rPr>
      </w:pPr>
      <w:r w:rsidRPr="001E57EA">
        <w:rPr>
          <w:b/>
          <w:szCs w:val="24"/>
        </w:rPr>
        <w:t>FMRSP</w:t>
      </w:r>
      <w:r w:rsidRPr="001E57EA">
        <w:rPr>
          <w:szCs w:val="24"/>
        </w:rPr>
        <w:t xml:space="preserve"> - Federalno ministarstvo rada i socijalne politike</w:t>
      </w:r>
    </w:p>
    <w:p w:rsidR="00DB60D1" w:rsidRPr="001E57EA" w:rsidRDefault="00DB60D1" w:rsidP="009A623D">
      <w:pPr>
        <w:pStyle w:val="TekstStrategija"/>
        <w:spacing w:line="360" w:lineRule="auto"/>
        <w:rPr>
          <w:szCs w:val="24"/>
        </w:rPr>
      </w:pPr>
      <w:r w:rsidRPr="001E57EA">
        <w:rPr>
          <w:b/>
          <w:szCs w:val="24"/>
        </w:rPr>
        <w:t>FMUP</w:t>
      </w:r>
      <w:r w:rsidRPr="001E57EA">
        <w:rPr>
          <w:szCs w:val="24"/>
        </w:rPr>
        <w:t xml:space="preserve"> – Federalno ministarstvo unutrašnjih poslova</w:t>
      </w:r>
    </w:p>
    <w:p w:rsidR="00DB60D1" w:rsidRPr="001E57EA" w:rsidRDefault="00DB60D1" w:rsidP="009A623D">
      <w:pPr>
        <w:pStyle w:val="TekstStrategija"/>
        <w:spacing w:line="360" w:lineRule="auto"/>
        <w:rPr>
          <w:szCs w:val="24"/>
        </w:rPr>
      </w:pPr>
      <w:r w:rsidRPr="001E57EA">
        <w:rPr>
          <w:b/>
          <w:szCs w:val="24"/>
        </w:rPr>
        <w:t>FMZ</w:t>
      </w:r>
      <w:r w:rsidRPr="001E57EA">
        <w:rPr>
          <w:szCs w:val="24"/>
        </w:rPr>
        <w:t xml:space="preserve"> – Federalno ministarstvo zdravstva</w:t>
      </w:r>
    </w:p>
    <w:p w:rsidR="00DB60D1" w:rsidRPr="001E57EA" w:rsidRDefault="00DB60D1" w:rsidP="009A623D">
      <w:pPr>
        <w:pStyle w:val="TekstStrategija"/>
        <w:spacing w:line="360" w:lineRule="auto"/>
        <w:rPr>
          <w:szCs w:val="24"/>
          <w:lang w:val="de-DE"/>
        </w:rPr>
      </w:pPr>
      <w:r w:rsidRPr="001E57EA">
        <w:rPr>
          <w:b/>
          <w:szCs w:val="24"/>
          <w:lang w:val="de-DE"/>
        </w:rPr>
        <w:t>FZZPR</w:t>
      </w:r>
      <w:r w:rsidRPr="001E57EA">
        <w:rPr>
          <w:szCs w:val="24"/>
          <w:lang w:val="de-DE"/>
        </w:rPr>
        <w:t xml:space="preserve"> - Federalni zavod za programiranje razvoja</w:t>
      </w:r>
    </w:p>
    <w:p w:rsidR="00DB60D1" w:rsidRPr="001E57EA" w:rsidRDefault="00DB60D1" w:rsidP="009A623D">
      <w:pPr>
        <w:pStyle w:val="TekstStrategija"/>
        <w:spacing w:line="360" w:lineRule="auto"/>
        <w:rPr>
          <w:szCs w:val="24"/>
          <w:lang w:val="de-DE"/>
        </w:rPr>
      </w:pPr>
      <w:r w:rsidRPr="001E57EA">
        <w:rPr>
          <w:b/>
          <w:szCs w:val="24"/>
          <w:lang w:val="de-DE"/>
        </w:rPr>
        <w:t>FZZZ</w:t>
      </w:r>
      <w:r w:rsidRPr="001E57EA">
        <w:rPr>
          <w:szCs w:val="24"/>
          <w:lang w:val="de-DE"/>
        </w:rPr>
        <w:t xml:space="preserve"> – Federalni zavod za zapošljavanje</w:t>
      </w:r>
    </w:p>
    <w:p w:rsidR="00DB60D1" w:rsidRPr="001E57EA" w:rsidRDefault="00DB60D1" w:rsidP="009A623D">
      <w:pPr>
        <w:pStyle w:val="TekstStrategija"/>
        <w:spacing w:line="360" w:lineRule="auto"/>
        <w:rPr>
          <w:szCs w:val="24"/>
          <w:lang w:val="de-DE"/>
        </w:rPr>
      </w:pPr>
      <w:r w:rsidRPr="001E57EA">
        <w:rPr>
          <w:b/>
          <w:szCs w:val="24"/>
          <w:lang w:val="de-DE"/>
        </w:rPr>
        <w:t>GCFBIH</w:t>
      </w:r>
      <w:r w:rsidRPr="001E57EA">
        <w:rPr>
          <w:szCs w:val="24"/>
          <w:lang w:val="de-DE"/>
        </w:rPr>
        <w:t xml:space="preserve"> - Gender Centar Federacije Bosne i Hercegovine</w:t>
      </w:r>
    </w:p>
    <w:p w:rsidR="00A429F8" w:rsidRPr="001E57EA" w:rsidRDefault="00A429F8" w:rsidP="00A429F8">
      <w:pPr>
        <w:pStyle w:val="TekstStrategija"/>
        <w:spacing w:line="360" w:lineRule="auto"/>
        <w:rPr>
          <w:szCs w:val="24"/>
          <w:lang w:val="de-DE"/>
        </w:rPr>
      </w:pPr>
      <w:r w:rsidRPr="001E57EA">
        <w:rPr>
          <w:b/>
          <w:szCs w:val="24"/>
          <w:lang w:val="de-DE"/>
        </w:rPr>
        <w:t xml:space="preserve">GREVIO </w:t>
      </w:r>
      <w:r w:rsidRPr="001E57EA">
        <w:rPr>
          <w:szCs w:val="24"/>
          <w:lang w:val="de-DE"/>
        </w:rPr>
        <w:t>- Grupa eksperata Vijeća Evrope za borbu i spr</w:t>
      </w:r>
      <w:r w:rsidR="00707FBB" w:rsidRPr="001E57EA">
        <w:rPr>
          <w:szCs w:val="24"/>
          <w:lang w:val="de-DE"/>
        </w:rPr>
        <w:t>j</w:t>
      </w:r>
      <w:r w:rsidRPr="001E57EA">
        <w:rPr>
          <w:szCs w:val="24"/>
          <w:lang w:val="de-DE"/>
        </w:rPr>
        <w:t>ečavanje nasilja nad ženama i nasilja u porodici</w:t>
      </w:r>
    </w:p>
    <w:p w:rsidR="00DB60D1" w:rsidRPr="001E57EA" w:rsidRDefault="00DB60D1" w:rsidP="009A623D">
      <w:pPr>
        <w:pStyle w:val="TekstStrategija"/>
        <w:spacing w:line="360" w:lineRule="auto"/>
        <w:rPr>
          <w:szCs w:val="24"/>
          <w:lang w:val="de-DE"/>
        </w:rPr>
      </w:pPr>
      <w:r w:rsidRPr="001E57EA">
        <w:rPr>
          <w:b/>
          <w:szCs w:val="24"/>
          <w:lang w:val="de-DE"/>
        </w:rPr>
        <w:t>IPB</w:t>
      </w:r>
      <w:r w:rsidR="009A623D" w:rsidRPr="001E57EA">
        <w:rPr>
          <w:szCs w:val="24"/>
          <w:lang w:val="de-DE"/>
        </w:rPr>
        <w:t xml:space="preserve"> - I</w:t>
      </w:r>
      <w:r w:rsidRPr="001E57EA">
        <w:rPr>
          <w:szCs w:val="24"/>
          <w:lang w:val="de-DE"/>
        </w:rPr>
        <w:t>ndividualni plan brige za učenika</w:t>
      </w:r>
    </w:p>
    <w:p w:rsidR="00DB60D1" w:rsidRPr="001E57EA" w:rsidRDefault="00DB60D1" w:rsidP="009A623D">
      <w:pPr>
        <w:pStyle w:val="TekstStrategija"/>
        <w:spacing w:line="360" w:lineRule="auto"/>
        <w:rPr>
          <w:szCs w:val="24"/>
          <w:lang w:val="de-DE"/>
        </w:rPr>
      </w:pPr>
      <w:r w:rsidRPr="001E57EA">
        <w:rPr>
          <w:b/>
          <w:szCs w:val="24"/>
          <w:lang w:val="de-DE"/>
        </w:rPr>
        <w:t>IPP</w:t>
      </w:r>
      <w:r w:rsidRPr="001E57EA">
        <w:rPr>
          <w:szCs w:val="24"/>
          <w:lang w:val="de-DE"/>
        </w:rPr>
        <w:t xml:space="preserve"> - Individualni plan podrške učeniku </w:t>
      </w:r>
    </w:p>
    <w:p w:rsidR="00DB60D1" w:rsidRPr="001E57EA" w:rsidRDefault="00DB60D1" w:rsidP="009A623D">
      <w:pPr>
        <w:pStyle w:val="TekstStrategija"/>
        <w:spacing w:line="360" w:lineRule="auto"/>
        <w:rPr>
          <w:szCs w:val="24"/>
          <w:lang w:val="de-DE"/>
        </w:rPr>
      </w:pPr>
      <w:r w:rsidRPr="001E57EA">
        <w:rPr>
          <w:b/>
          <w:szCs w:val="24"/>
          <w:lang w:val="de-DE"/>
        </w:rPr>
        <w:t xml:space="preserve">Istanbulska konvencija </w:t>
      </w:r>
      <w:r w:rsidRPr="001E57EA">
        <w:rPr>
          <w:szCs w:val="24"/>
          <w:lang w:val="de-DE"/>
        </w:rPr>
        <w:t xml:space="preserve">- Konvencija Vijeća Evrope o </w:t>
      </w:r>
      <w:r w:rsidR="005F6D09" w:rsidRPr="001E57EA">
        <w:rPr>
          <w:szCs w:val="24"/>
          <w:lang w:val="de-DE"/>
        </w:rPr>
        <w:t xml:space="preserve">sprečavanju </w:t>
      </w:r>
      <w:r w:rsidRPr="001E57EA">
        <w:rPr>
          <w:szCs w:val="24"/>
          <w:lang w:val="de-DE"/>
        </w:rPr>
        <w:t xml:space="preserve">i borbi protiv nasilja nad ženama i nasilja u porodici </w:t>
      </w:r>
    </w:p>
    <w:p w:rsidR="00DB60D1" w:rsidRPr="001E57EA" w:rsidRDefault="00DB60D1" w:rsidP="009A623D">
      <w:pPr>
        <w:pStyle w:val="TekstStrategija"/>
        <w:spacing w:line="360" w:lineRule="auto"/>
        <w:rPr>
          <w:szCs w:val="24"/>
        </w:rPr>
      </w:pPr>
      <w:r w:rsidRPr="001E57EA">
        <w:rPr>
          <w:b/>
          <w:szCs w:val="24"/>
        </w:rPr>
        <w:t>OSCE</w:t>
      </w:r>
      <w:r w:rsidRPr="001E57EA">
        <w:rPr>
          <w:szCs w:val="24"/>
        </w:rPr>
        <w:t xml:space="preserve"> – Organizacija za sigurnost i saradnju u </w:t>
      </w:r>
      <w:r w:rsidR="005F6D09" w:rsidRPr="001E57EA">
        <w:rPr>
          <w:szCs w:val="24"/>
        </w:rPr>
        <w:t>Evropi</w:t>
      </w:r>
    </w:p>
    <w:p w:rsidR="00E22706" w:rsidRPr="001E57EA" w:rsidRDefault="00E22706" w:rsidP="00E22706">
      <w:pPr>
        <w:pStyle w:val="TekstStrategija"/>
        <w:spacing w:line="360" w:lineRule="auto"/>
        <w:rPr>
          <w:szCs w:val="24"/>
        </w:rPr>
      </w:pPr>
      <w:r w:rsidRPr="001E57EA">
        <w:rPr>
          <w:b/>
          <w:szCs w:val="24"/>
        </w:rPr>
        <w:t>SOP</w:t>
      </w:r>
      <w:r w:rsidRPr="001E57EA">
        <w:rPr>
          <w:szCs w:val="24"/>
        </w:rPr>
        <w:t xml:space="preserve"> – Standardne operativne procedure</w:t>
      </w:r>
    </w:p>
    <w:p w:rsidR="005F6D09" w:rsidRPr="001E57EA" w:rsidRDefault="00DB60D1" w:rsidP="009A623D">
      <w:pPr>
        <w:pStyle w:val="TekstStrategija"/>
        <w:spacing w:line="360" w:lineRule="auto"/>
        <w:rPr>
          <w:szCs w:val="24"/>
        </w:rPr>
      </w:pPr>
      <w:r w:rsidRPr="001E57EA">
        <w:rPr>
          <w:b/>
          <w:szCs w:val="24"/>
        </w:rPr>
        <w:t>UNWOMEN</w:t>
      </w:r>
      <w:r w:rsidRPr="001E57EA">
        <w:rPr>
          <w:szCs w:val="24"/>
        </w:rPr>
        <w:t xml:space="preserve"> - Entitet Ujedinjenih nacija posvećen rodnoj ravnopravnosti i osnaživanju žena</w:t>
      </w:r>
    </w:p>
    <w:p w:rsidR="00987169" w:rsidRPr="001E57EA" w:rsidRDefault="00DB60D1" w:rsidP="009A623D">
      <w:pPr>
        <w:pStyle w:val="TekstStrategija"/>
        <w:spacing w:line="360" w:lineRule="auto"/>
        <w:rPr>
          <w:szCs w:val="24"/>
        </w:rPr>
      </w:pPr>
      <w:r w:rsidRPr="001E57EA">
        <w:rPr>
          <w:b/>
          <w:szCs w:val="24"/>
        </w:rPr>
        <w:t>VSTV</w:t>
      </w:r>
      <w:r w:rsidR="005F6D09" w:rsidRPr="001E57EA">
        <w:rPr>
          <w:szCs w:val="24"/>
        </w:rPr>
        <w:t xml:space="preserve"> - </w:t>
      </w:r>
      <w:r w:rsidRPr="001E57EA">
        <w:rPr>
          <w:szCs w:val="24"/>
        </w:rPr>
        <w:t>Visoko sudsko i tužilačko vijeć</w:t>
      </w:r>
      <w:r w:rsidR="005F6D09" w:rsidRPr="001E57EA">
        <w:rPr>
          <w:szCs w:val="24"/>
        </w:rPr>
        <w:t>e</w:t>
      </w:r>
    </w:p>
    <w:p w:rsidR="00987169" w:rsidRPr="001E57EA" w:rsidRDefault="00987169" w:rsidP="009A623D">
      <w:pPr>
        <w:pStyle w:val="TekstStrategija"/>
        <w:spacing w:line="360" w:lineRule="auto"/>
        <w:rPr>
          <w:sz w:val="22"/>
          <w:szCs w:val="22"/>
        </w:rPr>
      </w:pPr>
    </w:p>
    <w:p w:rsidR="00987169" w:rsidRPr="001E57EA" w:rsidRDefault="00987169" w:rsidP="009A623D">
      <w:pPr>
        <w:pStyle w:val="TekstStrategija"/>
        <w:spacing w:line="360" w:lineRule="auto"/>
        <w:rPr>
          <w:rFonts w:eastAsia="Times New Roman"/>
          <w:b/>
          <w:sz w:val="44"/>
          <w:szCs w:val="32"/>
        </w:rPr>
      </w:pPr>
    </w:p>
    <w:p w:rsidR="00987169" w:rsidRPr="001E57EA" w:rsidRDefault="00987169" w:rsidP="009A623D">
      <w:pPr>
        <w:pStyle w:val="TekstStrategija"/>
        <w:spacing w:line="360" w:lineRule="auto"/>
        <w:rPr>
          <w:rFonts w:eastAsia="Times New Roman"/>
          <w:b/>
          <w:sz w:val="44"/>
          <w:szCs w:val="32"/>
        </w:rPr>
      </w:pPr>
    </w:p>
    <w:p w:rsidR="00987169" w:rsidRPr="001E57EA" w:rsidRDefault="00987169" w:rsidP="009A623D">
      <w:pPr>
        <w:pStyle w:val="TekstStrategija"/>
        <w:spacing w:line="360" w:lineRule="auto"/>
        <w:rPr>
          <w:rFonts w:eastAsia="Times New Roman"/>
          <w:b/>
          <w:sz w:val="44"/>
          <w:szCs w:val="32"/>
        </w:rPr>
      </w:pPr>
    </w:p>
    <w:p w:rsidR="00753FDE" w:rsidRPr="001E57EA" w:rsidRDefault="00753FDE" w:rsidP="00390729">
      <w:pPr>
        <w:pStyle w:val="1naslov"/>
        <w:rPr>
          <w:color w:val="auto"/>
        </w:rPr>
      </w:pPr>
      <w:bookmarkStart w:id="1" w:name="_Toc145323797"/>
      <w:r w:rsidRPr="001E57EA">
        <w:rPr>
          <w:color w:val="auto"/>
        </w:rPr>
        <w:lastRenderedPageBreak/>
        <w:t>Uvod</w:t>
      </w:r>
      <w:bookmarkEnd w:id="1"/>
    </w:p>
    <w:p w:rsidR="00753FDE" w:rsidRPr="001E57EA" w:rsidRDefault="00BD7D42" w:rsidP="00BF3ED5">
      <w:pPr>
        <w:pStyle w:val="TekstStrategija"/>
      </w:pPr>
      <w:r w:rsidRPr="001E57EA">
        <w:t>Nasilje u porodici prisutno je u svim zemljama svijeta</w:t>
      </w:r>
      <w:r w:rsidR="005F6D09" w:rsidRPr="001E57EA">
        <w:t xml:space="preserve">, </w:t>
      </w:r>
      <w:r w:rsidRPr="001E57EA">
        <w:t xml:space="preserve">bez obzira na njihovo uređenje, ekonomsku snagu ili kulturu. Ono nije izolirani, pojedinačan događaj, već najčešće naučeni, transgeneracijski prenosiv obrazac ponašanja. Imajući u vidu navedeno, odgovarajućim preventivnim djelovanjem </w:t>
      </w:r>
      <w:r w:rsidR="005F6D09" w:rsidRPr="001E57EA">
        <w:t>moguće je</w:t>
      </w:r>
      <w:r w:rsidR="005F6D09" w:rsidRPr="001E57EA" w:rsidDel="007B4EB1">
        <w:t xml:space="preserve"> </w:t>
      </w:r>
      <w:r w:rsidR="007B4EB1" w:rsidRPr="001E57EA">
        <w:t xml:space="preserve">utjecati </w:t>
      </w:r>
      <w:r w:rsidRPr="001E57EA">
        <w:t>na promjenu društvenih navika i osigurati prekid prenošenja nasilnih obrazaca ponašanja u društvu.</w:t>
      </w:r>
      <w:r w:rsidR="005F6D09" w:rsidRPr="001E57EA">
        <w:t xml:space="preserve"> </w:t>
      </w:r>
      <w:r w:rsidR="00D65828" w:rsidRPr="001E57EA">
        <w:t>Ono što razlikuje pojed</w:t>
      </w:r>
      <w:r w:rsidRPr="001E57EA">
        <w:t>ine društvene zajednice je nivo stanja svijesti o nasilju kao neprihvatljivom obliku ponašanja, te nivo odgovora na nasilje kada se ono desi.</w:t>
      </w:r>
    </w:p>
    <w:p w:rsidR="008F3A6D" w:rsidRPr="001E57EA" w:rsidRDefault="00BD7D42" w:rsidP="00BF3ED5">
      <w:pPr>
        <w:pStyle w:val="TekstStrategija"/>
      </w:pPr>
      <w:r w:rsidRPr="001E57EA">
        <w:t>Bosna i Hercegovina je jedna od zemalja koja ima kontinuitet rada na prevenciji nasilja, unapređenju sistema djelovanja i zaštite, te strateškom i sveobuhvatnom pristupu u ovoj oblasti</w:t>
      </w:r>
      <w:r w:rsidR="005F6D09" w:rsidRPr="001E57EA">
        <w:t>. Navedeno</w:t>
      </w:r>
      <w:r w:rsidRPr="001E57EA">
        <w:t xml:space="preserve"> potvrđuje i prihvatanje međunarodnih standarda,</w:t>
      </w:r>
      <w:r w:rsidR="005F6D09" w:rsidRPr="001E57EA">
        <w:t xml:space="preserve"> </w:t>
      </w:r>
      <w:r w:rsidRPr="001E57EA">
        <w:t xml:space="preserve">kontinuirana </w:t>
      </w:r>
      <w:r w:rsidR="005F6D09" w:rsidRPr="001E57EA">
        <w:t xml:space="preserve">provedba </w:t>
      </w:r>
      <w:r w:rsidRPr="001E57EA">
        <w:t>domaćeg i međun</w:t>
      </w:r>
      <w:r w:rsidR="00D65828" w:rsidRPr="001E57EA">
        <w:t>a</w:t>
      </w:r>
      <w:r w:rsidRPr="001E57EA">
        <w:t>r</w:t>
      </w:r>
      <w:r w:rsidR="00D65828" w:rsidRPr="001E57EA">
        <w:t>o</w:t>
      </w:r>
      <w:r w:rsidRPr="001E57EA">
        <w:t xml:space="preserve">dnog okvira kroz implementaciju strateških dokumenata </w:t>
      </w:r>
      <w:r w:rsidR="005F6D09" w:rsidRPr="001E57EA">
        <w:t>u vezi sa</w:t>
      </w:r>
      <w:r w:rsidRPr="001E57EA">
        <w:t xml:space="preserve"> nasilje</w:t>
      </w:r>
      <w:r w:rsidR="005F6D09" w:rsidRPr="001E57EA">
        <w:t>m</w:t>
      </w:r>
      <w:r w:rsidRPr="001E57EA">
        <w:t xml:space="preserve"> nad ženama, nasilje</w:t>
      </w:r>
      <w:r w:rsidR="005F6D09" w:rsidRPr="001E57EA">
        <w:t>m</w:t>
      </w:r>
      <w:r w:rsidRPr="001E57EA">
        <w:t xml:space="preserve"> u porodici</w:t>
      </w:r>
      <w:r w:rsidR="005F6D09" w:rsidRPr="001E57EA">
        <w:t xml:space="preserve"> i</w:t>
      </w:r>
      <w:r w:rsidRPr="001E57EA">
        <w:t xml:space="preserve"> povezivanje</w:t>
      </w:r>
      <w:r w:rsidR="00014257" w:rsidRPr="001E57EA">
        <w:t xml:space="preserve"> ove oblasti sa drugim razvojnim procesima.</w:t>
      </w:r>
      <w:r w:rsidR="004D7E31" w:rsidRPr="001E57EA">
        <w:t xml:space="preserve"> Naime, održivost strateškog planiranja u oblasti prevencije i borbe protiv nasilja </w:t>
      </w:r>
      <w:r w:rsidR="00143B22" w:rsidRPr="001E57EA">
        <w:t xml:space="preserve">u porodici </w:t>
      </w:r>
      <w:r w:rsidR="005B3D01" w:rsidRPr="001E57EA">
        <w:t xml:space="preserve">garantirana </w:t>
      </w:r>
      <w:r w:rsidR="004D7E31" w:rsidRPr="001E57EA">
        <w:t xml:space="preserve">je </w:t>
      </w:r>
      <w:r w:rsidR="00C31CB3" w:rsidRPr="001E57EA">
        <w:t>Član</w:t>
      </w:r>
      <w:r w:rsidR="004D7E31" w:rsidRPr="001E57EA">
        <w:t>om 36. Zakona o zaštiti od nasilja u porodici („Službene novine Federacije BiH“,</w:t>
      </w:r>
      <w:r w:rsidR="00AA19D8" w:rsidRPr="001E57EA">
        <w:t xml:space="preserve"> br.</w:t>
      </w:r>
      <w:r w:rsidR="004D7E31" w:rsidRPr="001E57EA">
        <w:t xml:space="preserve"> 20/13</w:t>
      </w:r>
      <w:r w:rsidR="00AA19D8" w:rsidRPr="001E57EA">
        <w:t xml:space="preserve"> i 75/21</w:t>
      </w:r>
      <w:r w:rsidR="004D7E31" w:rsidRPr="001E57EA">
        <w:t xml:space="preserve">) kojim je predviđeno da Vlada Federacije BiH donosi strategiju za prevenciju nasilja u porodici u kojoj će se definirati ciljevi za prevenciju/suzbijanje nasilja u porodici. </w:t>
      </w:r>
      <w:r w:rsidR="007B4EB1" w:rsidRPr="001E57EA">
        <w:t>U vezi s tim,</w:t>
      </w:r>
      <w:r w:rsidR="004D7E31" w:rsidRPr="001E57EA">
        <w:t xml:space="preserve"> Vlada Federacije Bosne i Hercegovine je od 2013. godine u kontinuitetu </w:t>
      </w:r>
      <w:r w:rsidR="005F6D09" w:rsidRPr="001E57EA">
        <w:t xml:space="preserve">realizirala </w:t>
      </w:r>
      <w:r w:rsidR="004D7E31" w:rsidRPr="001E57EA">
        <w:t>strateške dokumente, usvajala godišnje izvještaje i akcione planove, te donosila zaključke kojima su nadležne institucije preuzimale obavezu planiranja i realizacije planiranih aktivnosti.</w:t>
      </w:r>
      <w:r w:rsidR="008F3A6D" w:rsidRPr="001E57EA">
        <w:t xml:space="preserve"> Vlada Federacije BiH je</w:t>
      </w:r>
      <w:r w:rsidR="00A6750A" w:rsidRPr="001E57EA">
        <w:t>,</w:t>
      </w:r>
      <w:r w:rsidR="008F3A6D" w:rsidRPr="001E57EA">
        <w:t xml:space="preserve"> na 243. sjednici, održanoj 12.11.2020. godine, tačkom 4. Zaključka</w:t>
      </w:r>
      <w:r w:rsidR="00A6750A" w:rsidRPr="001E57EA">
        <w:t>,</w:t>
      </w:r>
      <w:r w:rsidR="008F3A6D" w:rsidRPr="001E57EA">
        <w:t xml:space="preserve"> zadužila Gender Centar Federacije BiH da pokrene aktivnosti propisane Zakonom o razvojnom planiranju i upravljanju razvojem u Federaciji BiH („Službene novine Federacije BiH“, broj 32/17) radi pripreme nove sedmogodišnje strategije za prevenciju i borbu protiv nasilja u porodici. Zakonom o razvojnom planiranju i upravljanju razvojem u Federaciji BiH je u </w:t>
      </w:r>
      <w:r w:rsidR="00C31CB3" w:rsidRPr="001E57EA">
        <w:t>Član</w:t>
      </w:r>
      <w:r w:rsidR="008F3A6D" w:rsidRPr="001E57EA">
        <w:t xml:space="preserve">u 17. predviđeno donošenje sektorskih strategija, </w:t>
      </w:r>
      <w:r w:rsidR="00D65828" w:rsidRPr="001E57EA">
        <w:t>tako da</w:t>
      </w:r>
      <w:r w:rsidR="008F3A6D" w:rsidRPr="001E57EA">
        <w:t xml:space="preserve"> </w:t>
      </w:r>
      <w:r w:rsidR="00A61456" w:rsidRPr="001E57EA">
        <w:t>S</w:t>
      </w:r>
      <w:r w:rsidR="008F3A6D" w:rsidRPr="001E57EA">
        <w:t>trategija za prevenciju</w:t>
      </w:r>
      <w:r w:rsidR="002257E1" w:rsidRPr="001E57EA">
        <w:t xml:space="preserve"> i borbu protiv</w:t>
      </w:r>
      <w:r w:rsidR="008F3A6D" w:rsidRPr="001E57EA">
        <w:t xml:space="preserve"> nasilja</w:t>
      </w:r>
      <w:r w:rsidR="00D65828" w:rsidRPr="001E57EA">
        <w:t xml:space="preserve"> </w:t>
      </w:r>
      <w:r w:rsidR="005F6D09" w:rsidRPr="001E57EA">
        <w:t xml:space="preserve">u </w:t>
      </w:r>
      <w:r w:rsidR="00D65828" w:rsidRPr="001E57EA">
        <w:t>porodici predstavlja sektorsku strategiju kojom se postižu ciljevi Strategije razvoja Federacije BiH</w:t>
      </w:r>
      <w:r w:rsidR="008F3A6D" w:rsidRPr="001E57EA">
        <w:t>.</w:t>
      </w:r>
    </w:p>
    <w:p w:rsidR="00753FDE" w:rsidRPr="001E57EA" w:rsidRDefault="00753FDE" w:rsidP="00390729">
      <w:pPr>
        <w:pStyle w:val="1naslov"/>
        <w:rPr>
          <w:color w:val="auto"/>
        </w:rPr>
      </w:pPr>
      <w:bookmarkStart w:id="2" w:name="_Toc145323798"/>
      <w:r w:rsidRPr="001E57EA">
        <w:rPr>
          <w:color w:val="auto"/>
        </w:rPr>
        <w:t>Metodologija izrade Strategije</w:t>
      </w:r>
      <w:bookmarkEnd w:id="2"/>
    </w:p>
    <w:p w:rsidR="004071BE" w:rsidRPr="001E57EA" w:rsidRDefault="004071BE" w:rsidP="00BF3ED5">
      <w:pPr>
        <w:pStyle w:val="TekstStrategija"/>
      </w:pPr>
      <w:r w:rsidRPr="001E57EA">
        <w:t xml:space="preserve">Vlada Federacije BiH je tačkom 4. Odluke sa 256. sjednice održane 18.02.2021. godine </w:t>
      </w:r>
      <w:r w:rsidR="005F6D09" w:rsidRPr="001E57EA">
        <w:t xml:space="preserve">definirala </w:t>
      </w:r>
      <w:r w:rsidRPr="001E57EA">
        <w:t xml:space="preserve">da je nosilac izrade Strategije Gender Centar Federacije BiH, koji koordinira i vodi proces izrade </w:t>
      </w:r>
      <w:r w:rsidR="008F3A6D" w:rsidRPr="001E57EA">
        <w:t>Strategije za prevenciju i borbu protiv nasilja u porodici</w:t>
      </w:r>
      <w:r w:rsidR="00A61456" w:rsidRPr="001E57EA">
        <w:t xml:space="preserve"> </w:t>
      </w:r>
      <w:r w:rsidR="008F3A6D" w:rsidRPr="001E57EA">
        <w:t>2021-2027</w:t>
      </w:r>
      <w:r w:rsidR="00A61456" w:rsidRPr="001E57EA">
        <w:t>.</w:t>
      </w:r>
      <w:r w:rsidR="005F6D09" w:rsidRPr="001E57EA">
        <w:t>,</w:t>
      </w:r>
      <w:r w:rsidRPr="001E57EA">
        <w:t xml:space="preserve"> uz učešće Federalnog zavoda za programiranje razvoja. Učesnici u procesu izrade Strategije su nadležne institucije Federacije</w:t>
      </w:r>
      <w:r w:rsidR="00143B22" w:rsidRPr="001E57EA">
        <w:t xml:space="preserve"> BiH</w:t>
      </w:r>
      <w:r w:rsidRPr="001E57EA">
        <w:t xml:space="preserve">, kantona i jedinica lokalne samouprave, te relevantni partneri, kako bi se optimalno </w:t>
      </w:r>
      <w:r w:rsidR="00A61456" w:rsidRPr="001E57EA">
        <w:t xml:space="preserve">reflektirale </w:t>
      </w:r>
      <w:r w:rsidRPr="001E57EA">
        <w:t xml:space="preserve">potrebe prevencije i borbe protiv nasilja u porodici svih nivoa vlasti u Federaciji. U skladu sa Odlukom, Gender </w:t>
      </w:r>
      <w:r w:rsidR="00A6750A" w:rsidRPr="001E57EA">
        <w:t xml:space="preserve">Centar </w:t>
      </w:r>
      <w:r w:rsidRPr="001E57EA">
        <w:t xml:space="preserve">je primjenom otvorene metode koordinacije i poštujući </w:t>
      </w:r>
      <w:r w:rsidRPr="001E57EA">
        <w:lastRenderedPageBreak/>
        <w:t xml:space="preserve">princip horizontalne i vertikalne koordinacije, formirao radna tijela za učešće u izradi Strategije, čime je osigurano uključivanje </w:t>
      </w:r>
      <w:r w:rsidR="00A61456" w:rsidRPr="001E57EA">
        <w:t xml:space="preserve">zainteresiranih </w:t>
      </w:r>
      <w:r w:rsidRPr="001E57EA">
        <w:t>strana u svim fazama procesa izrade Strategije. Sam proces obuhvata usaglašavanje i komplementarnost razvojnih pravaca i strateških ciljeva sa strateškim ciljevima iz Strategije razvoja Federacije Bosne i Hercegovine 2021-2027., dokumenata relevantnih za proces integracije BiH u Evropsku uniju i drugih međunarodno preuzetih obaveza BiH.</w:t>
      </w:r>
    </w:p>
    <w:p w:rsidR="004071BE" w:rsidRPr="001E57EA" w:rsidRDefault="004071BE" w:rsidP="00BF3ED5">
      <w:pPr>
        <w:pStyle w:val="TekstStrategija"/>
      </w:pPr>
      <w:r w:rsidRPr="001E57EA">
        <w:t xml:space="preserve">Gender Centar Federacije BiH je u skladu sa </w:t>
      </w:r>
      <w:r w:rsidR="00C31CB3" w:rsidRPr="001E57EA">
        <w:t>Član</w:t>
      </w:r>
      <w:r w:rsidRPr="001E57EA">
        <w:t xml:space="preserve">om 30. Zakona o razvojnom planiranju proveo Evaluaciju implementacije Strategije za prevenciju i borbu protiv nasilja u porodici koja je implementirana u periodu od 2013. do 2020. godine, te je pripremio Metodologiju za izradu novog sedmogodišnjeg strateškog dokumenta. U skladu sa Metodologijom, a prema Odluci Vlade Federacije BiH, Gender Centar </w:t>
      </w:r>
      <w:r w:rsidR="00C95922" w:rsidRPr="001E57EA">
        <w:t>F</w:t>
      </w:r>
      <w:r w:rsidRPr="001E57EA">
        <w:t>ederacije BiH je formirao Izvršni tim za izradu Strate</w:t>
      </w:r>
      <w:r w:rsidR="00143B22" w:rsidRPr="001E57EA">
        <w:t>gije za prevenciju i borbu proti</w:t>
      </w:r>
      <w:r w:rsidRPr="001E57EA">
        <w:t>v nasilja u porodici</w:t>
      </w:r>
      <w:r w:rsidR="00C95922" w:rsidRPr="001E57EA">
        <w:t xml:space="preserve"> sastavljen od predstavnika</w:t>
      </w:r>
      <w:r w:rsidR="00A0466A" w:rsidRPr="001E57EA">
        <w:t>/ca</w:t>
      </w:r>
      <w:r w:rsidR="00C95922" w:rsidRPr="001E57EA">
        <w:t xml:space="preserve"> nadležnih institucija</w:t>
      </w:r>
      <w:r w:rsidR="009A7D7A" w:rsidRPr="001E57EA">
        <w:t>,</w:t>
      </w:r>
      <w:r w:rsidR="00C95922" w:rsidRPr="001E57EA">
        <w:t xml:space="preserve"> s ciljem operativne koordinacije izrade tehničkih elemenata, osiguranja kvaliteta procesa i rezultata u svim fazama izrade Strategije</w:t>
      </w:r>
      <w:r w:rsidR="00A07D53" w:rsidRPr="001E57EA">
        <w:t xml:space="preserve"> (</w:t>
      </w:r>
      <w:r w:rsidR="009749AD" w:rsidRPr="001E57EA">
        <w:t xml:space="preserve">sedam </w:t>
      </w:r>
      <w:r w:rsidR="00A07D53" w:rsidRPr="001E57EA">
        <w:t>članova/ica)</w:t>
      </w:r>
      <w:r w:rsidR="00C95922" w:rsidRPr="001E57EA">
        <w:t xml:space="preserve">. </w:t>
      </w:r>
      <w:r w:rsidR="008F3A6D" w:rsidRPr="001E57EA">
        <w:t>Formirana je</w:t>
      </w:r>
      <w:r w:rsidR="00C95922" w:rsidRPr="001E57EA">
        <w:t xml:space="preserve"> Tematsk</w:t>
      </w:r>
      <w:r w:rsidR="008F3A6D" w:rsidRPr="001E57EA">
        <w:t>a</w:t>
      </w:r>
      <w:r w:rsidR="00C95922" w:rsidRPr="001E57EA">
        <w:t xml:space="preserve"> grup</w:t>
      </w:r>
      <w:r w:rsidR="008F3A6D" w:rsidRPr="001E57EA">
        <w:t>a</w:t>
      </w:r>
      <w:r w:rsidR="00C95922" w:rsidRPr="001E57EA">
        <w:t xml:space="preserve"> za izradu Strategije za prevenciju i borbu prot</w:t>
      </w:r>
      <w:r w:rsidR="008F3A6D" w:rsidRPr="001E57EA">
        <w:t>i</w:t>
      </w:r>
      <w:r w:rsidR="00C95922" w:rsidRPr="001E57EA">
        <w:t xml:space="preserve">v nasilja u porodici, </w:t>
      </w:r>
      <w:r w:rsidR="00835505" w:rsidRPr="001E57EA">
        <w:t>sa</w:t>
      </w:r>
      <w:r w:rsidR="00C95922" w:rsidRPr="001E57EA">
        <w:t>stavljen</w:t>
      </w:r>
      <w:r w:rsidR="008F3A6D" w:rsidRPr="001E57EA">
        <w:t xml:space="preserve">a </w:t>
      </w:r>
      <w:r w:rsidR="00C95922" w:rsidRPr="001E57EA">
        <w:t>od eksperata</w:t>
      </w:r>
      <w:r w:rsidR="00A0466A" w:rsidRPr="001E57EA">
        <w:t>/ica</w:t>
      </w:r>
      <w:r w:rsidR="00C95922" w:rsidRPr="001E57EA">
        <w:t xml:space="preserve"> koji praktično rade na poslovima prevencije, zaštite i postupanja u slučajevima nasilja u porodici</w:t>
      </w:r>
      <w:r w:rsidR="00A07D53" w:rsidRPr="001E57EA">
        <w:t xml:space="preserve"> (11 članova/ica)</w:t>
      </w:r>
      <w:r w:rsidR="00C95922" w:rsidRPr="001E57EA">
        <w:t xml:space="preserve">. Također, </w:t>
      </w:r>
      <w:r w:rsidR="008F3A6D" w:rsidRPr="001E57EA">
        <w:t>formirana je</w:t>
      </w:r>
      <w:r w:rsidR="00C95922" w:rsidRPr="001E57EA">
        <w:t xml:space="preserve"> i Partnersk</w:t>
      </w:r>
      <w:r w:rsidR="008F3A6D" w:rsidRPr="001E57EA">
        <w:t>a</w:t>
      </w:r>
      <w:r w:rsidR="00C95922" w:rsidRPr="001E57EA">
        <w:t xml:space="preserve"> grup</w:t>
      </w:r>
      <w:r w:rsidR="008F3A6D" w:rsidRPr="001E57EA">
        <w:t>a</w:t>
      </w:r>
      <w:r w:rsidR="00C95922" w:rsidRPr="001E57EA">
        <w:t xml:space="preserve"> za konsultacije u procesu izrade Strategije</w:t>
      </w:r>
      <w:r w:rsidR="00A0466A" w:rsidRPr="001E57EA">
        <w:t xml:space="preserve"> sastavljena od predstavnika/ca </w:t>
      </w:r>
      <w:r w:rsidR="00747682" w:rsidRPr="001E57EA">
        <w:t>kantonalnih vlada, nadležnih instit</w:t>
      </w:r>
      <w:r w:rsidR="00143B22" w:rsidRPr="001E57EA">
        <w:t>u</w:t>
      </w:r>
      <w:r w:rsidR="00747682" w:rsidRPr="001E57EA">
        <w:t xml:space="preserve">cija, relevantnih nevladinih organizacija i drugih </w:t>
      </w:r>
      <w:r w:rsidR="00A61456" w:rsidRPr="001E57EA">
        <w:t xml:space="preserve">zainteresiranih </w:t>
      </w:r>
      <w:r w:rsidR="00747682" w:rsidRPr="001E57EA">
        <w:t>strana</w:t>
      </w:r>
      <w:r w:rsidR="00E612C3" w:rsidRPr="001E57EA">
        <w:t xml:space="preserve"> (25 članova/ica)</w:t>
      </w:r>
      <w:r w:rsidR="00C95922" w:rsidRPr="001E57EA">
        <w:t>. Svrha Partnerske grupe za konsultacije je osiguranje vertikalne i horizontalne koordinacije procesa izrade Strategije</w:t>
      </w:r>
      <w:r w:rsidR="00FA3617" w:rsidRPr="001E57EA">
        <w:t>,</w:t>
      </w:r>
      <w:r w:rsidR="00C95922" w:rsidRPr="001E57EA">
        <w:t xml:space="preserve"> kako bi se osiguralo harmonizirano učešće svih institucionalnih i socio-ekonomskih aktera.</w:t>
      </w:r>
    </w:p>
    <w:p w:rsidR="00C95922" w:rsidRPr="001E57EA" w:rsidRDefault="008F3A6D" w:rsidP="00BF3ED5">
      <w:pPr>
        <w:pStyle w:val="TekstStrategija"/>
      </w:pPr>
      <w:r w:rsidRPr="001E57EA">
        <w:t>S ciljem</w:t>
      </w:r>
      <w:r w:rsidR="00C95922" w:rsidRPr="001E57EA">
        <w:t xml:space="preserve"> </w:t>
      </w:r>
      <w:r w:rsidR="00CD5F9E" w:rsidRPr="001E57EA">
        <w:t>izrade Strategije</w:t>
      </w:r>
      <w:r w:rsidR="00FA3617" w:rsidRPr="001E57EA">
        <w:t>,</w:t>
      </w:r>
      <w:r w:rsidR="00CD5F9E" w:rsidRPr="001E57EA">
        <w:t xml:space="preserve"> održano je ukupno </w:t>
      </w:r>
      <w:r w:rsidR="004655D1" w:rsidRPr="001E57EA">
        <w:t>sedam</w:t>
      </w:r>
      <w:r w:rsidR="00CD5F9E" w:rsidRPr="001E57EA">
        <w:t xml:space="preserve"> sastanaka</w:t>
      </w:r>
      <w:r w:rsidR="004655D1" w:rsidRPr="001E57EA">
        <w:t xml:space="preserve"> imenovanih radnih tijela, te niz pojedinačnih ko</w:t>
      </w:r>
      <w:r w:rsidR="00A07D53" w:rsidRPr="001E57EA">
        <w:t>n</w:t>
      </w:r>
      <w:r w:rsidR="004655D1" w:rsidRPr="001E57EA">
        <w:t>sultativnih i operativnih sastanaka</w:t>
      </w:r>
      <w:r w:rsidR="00654A21" w:rsidRPr="001E57EA">
        <w:t xml:space="preserve">. Provedene su javne konsultacije putem organizacije javnih rasprava u sjedištima svih deset kantona u periodu od 6. do 17. decembra 2021. godine na kojima je </w:t>
      </w:r>
      <w:r w:rsidR="002C41AE" w:rsidRPr="001E57EA">
        <w:t xml:space="preserve">sudjelovala </w:t>
      </w:r>
      <w:r w:rsidR="00654A21" w:rsidRPr="001E57EA">
        <w:t xml:space="preserve">121 osoba. Također, radni tekst Strategije postavljen </w:t>
      </w:r>
      <w:r w:rsidR="00091D73" w:rsidRPr="001E57EA">
        <w:t xml:space="preserve">je </w:t>
      </w:r>
      <w:r w:rsidR="00654A21" w:rsidRPr="001E57EA">
        <w:t xml:space="preserve">na web </w:t>
      </w:r>
      <w:r w:rsidR="00091D73" w:rsidRPr="001E57EA">
        <w:t xml:space="preserve">stranici </w:t>
      </w:r>
      <w:r w:rsidR="00654A21" w:rsidRPr="001E57EA">
        <w:t>Gender Centra Federacije BiH</w:t>
      </w:r>
      <w:r w:rsidR="00091D73" w:rsidRPr="001E57EA">
        <w:t>. Zainteres</w:t>
      </w:r>
      <w:r w:rsidR="00501E50" w:rsidRPr="001E57EA">
        <w:t>iranim</w:t>
      </w:r>
      <w:r w:rsidR="00091D73" w:rsidRPr="001E57EA">
        <w:t xml:space="preserve"> javnostima je o</w:t>
      </w:r>
      <w:r w:rsidR="00654A21" w:rsidRPr="001E57EA">
        <w:t xml:space="preserve">mogućeno </w:t>
      </w:r>
      <w:r w:rsidR="00091D73" w:rsidRPr="001E57EA">
        <w:t xml:space="preserve">da </w:t>
      </w:r>
      <w:r w:rsidR="00654A21" w:rsidRPr="001E57EA">
        <w:t>elektronskim ili pi</w:t>
      </w:r>
      <w:r w:rsidR="00143B22" w:rsidRPr="001E57EA">
        <w:t>s</w:t>
      </w:r>
      <w:r w:rsidR="00654A21" w:rsidRPr="001E57EA">
        <w:t>menim putem dostave komentar</w:t>
      </w:r>
      <w:r w:rsidR="00091D73" w:rsidRPr="001E57EA">
        <w:t>e,</w:t>
      </w:r>
      <w:r w:rsidR="00654A21" w:rsidRPr="001E57EA">
        <w:t xml:space="preserve"> u periodu od </w:t>
      </w:r>
      <w:r w:rsidR="00091D73" w:rsidRPr="001E57EA">
        <w:t>0</w:t>
      </w:r>
      <w:r w:rsidR="00654A21" w:rsidRPr="001E57EA">
        <w:t>1. do 31. decembra 2022. godine</w:t>
      </w:r>
      <w:r w:rsidR="00091D73" w:rsidRPr="001E57EA">
        <w:t>. R</w:t>
      </w:r>
      <w:r w:rsidR="00654A21" w:rsidRPr="001E57EA">
        <w:t xml:space="preserve">adni tekst Strategije dostavljen </w:t>
      </w:r>
      <w:r w:rsidR="005F6D09" w:rsidRPr="001E57EA">
        <w:t xml:space="preserve">je </w:t>
      </w:r>
      <w:r w:rsidR="00654A21" w:rsidRPr="001E57EA">
        <w:t xml:space="preserve">i svim predstavnicima </w:t>
      </w:r>
      <w:r w:rsidR="00A61456" w:rsidRPr="001E57EA">
        <w:t xml:space="preserve">zainteresiranih </w:t>
      </w:r>
      <w:r w:rsidR="00654A21" w:rsidRPr="001E57EA">
        <w:t xml:space="preserve">strana i učesnicima radnih tijela. </w:t>
      </w:r>
      <w:r w:rsidR="00091D73" w:rsidRPr="001E57EA">
        <w:t xml:space="preserve">Nezavisni evaluator </w:t>
      </w:r>
      <w:r w:rsidR="00A07D53" w:rsidRPr="001E57EA">
        <w:t>p</w:t>
      </w:r>
      <w:r w:rsidR="00CD5F9E" w:rsidRPr="001E57EA">
        <w:t>rove</w:t>
      </w:r>
      <w:r w:rsidR="00091D73" w:rsidRPr="001E57EA">
        <w:t>o je</w:t>
      </w:r>
      <w:r w:rsidR="00CD5F9E" w:rsidRPr="001E57EA">
        <w:t xml:space="preserve"> ex-ante evaluacij</w:t>
      </w:r>
      <w:r w:rsidR="00091D73" w:rsidRPr="001E57EA">
        <w:t>u</w:t>
      </w:r>
      <w:r w:rsidR="00CD5F9E" w:rsidRPr="001E57EA">
        <w:t xml:space="preserve"> nove sedmogodišnje strategije</w:t>
      </w:r>
      <w:r w:rsidR="00A07D53" w:rsidRPr="001E57EA">
        <w:t xml:space="preserve">, te </w:t>
      </w:r>
      <w:r w:rsidR="00AB3051" w:rsidRPr="001E57EA">
        <w:t xml:space="preserve">je </w:t>
      </w:r>
      <w:r w:rsidR="005F6D09" w:rsidRPr="001E57EA">
        <w:t>u aprilu 2022. godine</w:t>
      </w:r>
      <w:r w:rsidR="00987169" w:rsidRPr="001E57EA">
        <w:t xml:space="preserve"> </w:t>
      </w:r>
      <w:r w:rsidR="00A07D53" w:rsidRPr="001E57EA">
        <w:t>pripremljen Izvještaj o ex-ante evaluaciji</w:t>
      </w:r>
      <w:r w:rsidR="00C31CB3" w:rsidRPr="001E57EA">
        <w:t>.</w:t>
      </w:r>
      <w:r w:rsidR="007718BC" w:rsidRPr="001E57EA">
        <w:t xml:space="preserve"> Vlada Federacije Bosne i Hercegovine je donijela Zaključak o usvajanju Strategije za prevenciju i borbu protiv nasilja u porodici 2021.- 2027. („Službene novine Federacije BiH“, broj 7/23)</w:t>
      </w:r>
      <w:r w:rsidR="007F44AA" w:rsidRPr="001E57EA">
        <w:t xml:space="preserve"> i uputila Strategiju u parlamentarnu proceduru.</w:t>
      </w:r>
      <w:r w:rsidR="007718BC" w:rsidRPr="001E57EA">
        <w:t xml:space="preserve"> Zaključkom Vlade broj: 661/2023 od 04.05.2023. godine, Premijer Federacije Bosne i Hercegovine aktom broj: 03-02-531/2023 od 04.05.2023. povukao je iz parlamentarne procedure Strategiju za prevenciju i borbu protiv nasilja u porodici 2021.-2027. Vlada Federacije Bosne i Hercegovine na svojoj 10. sjednici održanoj 02.08.2023. godine donijela je Zaključak </w:t>
      </w:r>
      <w:r w:rsidR="007F44AA" w:rsidRPr="001E57EA">
        <w:t>kojim je</w:t>
      </w:r>
      <w:r w:rsidR="007718BC" w:rsidRPr="001E57EA">
        <w:t xml:space="preserve"> zaduž</w:t>
      </w:r>
      <w:r w:rsidR="007F44AA" w:rsidRPr="001E57EA">
        <w:t>ila</w:t>
      </w:r>
      <w:r w:rsidR="007718BC" w:rsidRPr="001E57EA">
        <w:t xml:space="preserve"> Gender Centar Federacije Bosne i Hercegovine da zajedno sa Izvršnim timom za izradu Strategije za prevenciju i borbu protiv nasilja u porodici 2021.-2027. ažurira Strategiju za prevenciju</w:t>
      </w:r>
      <w:r w:rsidR="002257E1" w:rsidRPr="001E57EA">
        <w:t xml:space="preserve"> i borbu protiv</w:t>
      </w:r>
      <w:r w:rsidR="007718BC" w:rsidRPr="001E57EA">
        <w:t xml:space="preserve"> nasilja u porodici za novi vremenski okvir 2024.-2027.</w:t>
      </w:r>
    </w:p>
    <w:p w:rsidR="00753FDE" w:rsidRPr="001E57EA" w:rsidRDefault="00753FDE" w:rsidP="00390729">
      <w:pPr>
        <w:pStyle w:val="1naslov"/>
        <w:rPr>
          <w:color w:val="auto"/>
        </w:rPr>
      </w:pPr>
      <w:bookmarkStart w:id="3" w:name="_Toc145323799"/>
      <w:r w:rsidRPr="001E57EA">
        <w:rPr>
          <w:color w:val="auto"/>
        </w:rPr>
        <w:lastRenderedPageBreak/>
        <w:t>Usklađenost sa drugim relevantnim dokumentima</w:t>
      </w:r>
      <w:bookmarkEnd w:id="3"/>
    </w:p>
    <w:p w:rsidR="00847485" w:rsidRPr="001E57EA" w:rsidRDefault="00CD5F9E" w:rsidP="00BF3ED5">
      <w:pPr>
        <w:pStyle w:val="TekstStrategija"/>
      </w:pPr>
      <w:r w:rsidRPr="001E57EA">
        <w:t xml:space="preserve">Strategija </w:t>
      </w:r>
      <w:r w:rsidR="002257E1" w:rsidRPr="001E57EA">
        <w:t xml:space="preserve">za prevenciju i borbu protiv nasilja u porodici </w:t>
      </w:r>
      <w:r w:rsidRPr="001E57EA">
        <w:t>202</w:t>
      </w:r>
      <w:r w:rsidR="007F44AA" w:rsidRPr="001E57EA">
        <w:t>4</w:t>
      </w:r>
      <w:r w:rsidRPr="001E57EA">
        <w:t>-2027</w:t>
      </w:r>
      <w:r w:rsidR="00A61456" w:rsidRPr="001E57EA">
        <w:t>.</w:t>
      </w:r>
      <w:r w:rsidRPr="001E57EA">
        <w:t xml:space="preserve"> </w:t>
      </w:r>
      <w:r w:rsidR="00A61456" w:rsidRPr="001E57EA">
        <w:t xml:space="preserve">povezana je </w:t>
      </w:r>
      <w:r w:rsidRPr="001E57EA">
        <w:t>s</w:t>
      </w:r>
      <w:r w:rsidR="0052383B" w:rsidRPr="001E57EA">
        <w:t xml:space="preserve">a </w:t>
      </w:r>
      <w:r w:rsidRPr="001E57EA">
        <w:t>Strategij</w:t>
      </w:r>
      <w:r w:rsidR="0052383B" w:rsidRPr="001E57EA">
        <w:t>om</w:t>
      </w:r>
      <w:r w:rsidRPr="001E57EA">
        <w:t xml:space="preserve"> razvoja Federacije Bosne i Hercegovine 2021-2027., posebno u dijelu Prioriteta 2.3., u dijelu mjere 2.3.4. </w:t>
      </w:r>
      <w:r w:rsidR="007B4EB1" w:rsidRPr="001E57EA">
        <w:t xml:space="preserve">Promovirati </w:t>
      </w:r>
      <w:r w:rsidRPr="001E57EA">
        <w:t>toleranciju, nenasilje i rodnu ravnopravnost u porodici i društvu direktno, ali i u okviru drugih prioriteta i mjera indirektno.</w:t>
      </w:r>
      <w:r w:rsidR="00C570A8" w:rsidRPr="001E57EA">
        <w:t xml:space="preserve"> </w:t>
      </w:r>
      <w:r w:rsidR="00847485" w:rsidRPr="001E57EA">
        <w:t xml:space="preserve">Također, Strategijom se </w:t>
      </w:r>
      <w:r w:rsidR="00501E50" w:rsidRPr="001E57EA">
        <w:t xml:space="preserve">realiziraju </w:t>
      </w:r>
      <w:r w:rsidR="00847485" w:rsidRPr="001E57EA">
        <w:t>i obaveze prema</w:t>
      </w:r>
      <w:r w:rsidR="00081A7B" w:rsidRPr="001E57EA">
        <w:t xml:space="preserve"> Konvencij</w:t>
      </w:r>
      <w:r w:rsidR="00847485" w:rsidRPr="001E57EA">
        <w:t>i</w:t>
      </w:r>
      <w:r w:rsidR="00081A7B" w:rsidRPr="001E57EA">
        <w:t xml:space="preserve"> Vijeća Evrope o sprečavanju i borbi protiv nasilja nad ženama i nasilja u porodici - Istanbulska konvencija</w:t>
      </w:r>
      <w:r w:rsidR="00081A7B" w:rsidRPr="001E57EA">
        <w:rPr>
          <w:rStyle w:val="FootnoteReference"/>
        </w:rPr>
        <w:footnoteReference w:id="1"/>
      </w:r>
      <w:r w:rsidR="00081A7B" w:rsidRPr="001E57EA">
        <w:t xml:space="preserve">, koju je Bosna i Hercegovina ratificirala i kao država preuzela obavezu da osigura </w:t>
      </w:r>
      <w:r w:rsidR="00064FB0" w:rsidRPr="001E57EA">
        <w:t>uvjet</w:t>
      </w:r>
      <w:r w:rsidR="00055498" w:rsidRPr="001E57EA">
        <w:t>e</w:t>
      </w:r>
      <w:r w:rsidR="00064FB0" w:rsidRPr="001E57EA">
        <w:t xml:space="preserve"> </w:t>
      </w:r>
      <w:r w:rsidR="00081A7B" w:rsidRPr="001E57EA">
        <w:t>za sprečavanje nasilja, provođenje istrage, kažnjavanje počinioca</w:t>
      </w:r>
      <w:r w:rsidR="00143B22" w:rsidRPr="001E57EA">
        <w:t xml:space="preserve"> nasilja</w:t>
      </w:r>
      <w:r w:rsidR="00081A7B" w:rsidRPr="001E57EA">
        <w:t xml:space="preserve"> i osiguranje </w:t>
      </w:r>
      <w:r w:rsidR="00064FB0" w:rsidRPr="001E57EA">
        <w:t xml:space="preserve">uvjeta </w:t>
      </w:r>
      <w:r w:rsidR="00081A7B" w:rsidRPr="001E57EA">
        <w:t xml:space="preserve">za reparacije žrtvama nasilja. Bosna i Hercegovina je samim tim preuzela i odgovornost za nepostupanje u slučajevima nasilja nad ženama i nasilja u porodici, ukoliko kao država ne </w:t>
      </w:r>
      <w:r w:rsidR="00064FB0" w:rsidRPr="001E57EA">
        <w:t xml:space="preserve">osigura uvjete </w:t>
      </w:r>
      <w:r w:rsidR="00081A7B" w:rsidRPr="001E57EA">
        <w:t>za implementaciju obaveza preuzetih iz Konvencije.</w:t>
      </w:r>
      <w:r w:rsidR="00E612C3" w:rsidRPr="001E57EA">
        <w:t xml:space="preserve"> </w:t>
      </w:r>
      <w:r w:rsidR="00847485" w:rsidRPr="001E57EA">
        <w:t>Važan dokument u ovoj oblasti je i Konvencija o eliminaciji svih oblika diskriminacije žena - CEDAW</w:t>
      </w:r>
      <w:r w:rsidR="00847485" w:rsidRPr="001E57EA">
        <w:rPr>
          <w:vertAlign w:val="superscript"/>
          <w:lang w:val="hr-BA"/>
        </w:rPr>
        <w:footnoteReference w:id="2"/>
      </w:r>
      <w:r w:rsidR="00847485" w:rsidRPr="001E57EA">
        <w:t xml:space="preserve"> koja predstavlja međunarodnopravni instrument u borbi protiv diskriminacije na osnovu spola. Konvencija je sastavni dio Ustava Bosne i </w:t>
      </w:r>
      <w:r w:rsidR="0009144E" w:rsidRPr="001E57EA">
        <w:t xml:space="preserve">Hercegovine </w:t>
      </w:r>
      <w:r w:rsidR="00847485" w:rsidRPr="001E57EA">
        <w:t>Aneks I</w:t>
      </w:r>
      <w:r w:rsidR="00847485" w:rsidRPr="001E57EA">
        <w:rPr>
          <w:vertAlign w:val="superscript"/>
        </w:rPr>
        <w:footnoteReference w:id="3"/>
      </w:r>
      <w:r w:rsidR="00847485" w:rsidRPr="001E57EA">
        <w:t xml:space="preserve"> čime se primjenjuje direktno i ima prioritet nad državnim zakonima.</w:t>
      </w:r>
      <w:r w:rsidR="00E612C3" w:rsidRPr="001E57EA">
        <w:t xml:space="preserve"> </w:t>
      </w:r>
      <w:r w:rsidR="00847485" w:rsidRPr="001E57EA">
        <w:t>Strategija predstav</w:t>
      </w:r>
      <w:r w:rsidR="00143B22" w:rsidRPr="001E57EA">
        <w:t>lja važan dokument</w:t>
      </w:r>
      <w:r w:rsidR="008A38DA" w:rsidRPr="001E57EA">
        <w:t xml:space="preserve"> i u dostizanju C</w:t>
      </w:r>
      <w:r w:rsidR="00847485" w:rsidRPr="001E57EA">
        <w:t>iljeva održivog razvoja</w:t>
      </w:r>
      <w:r w:rsidR="008A38DA" w:rsidRPr="001E57EA">
        <w:t xml:space="preserve"> u Bosni i Hercegovini, a posebno Podcilja 16.1: „Značajno smanjiti sve oblike nasilja i s njima povezane stope smrtnih slučajeva“.</w:t>
      </w:r>
      <w:r w:rsidR="00847485" w:rsidRPr="001E57EA">
        <w:t xml:space="preserve"> </w:t>
      </w:r>
      <w:r w:rsidR="000F54C9" w:rsidRPr="001E57EA">
        <w:t>Naime, Bosna i Hercegovina se u</w:t>
      </w:r>
      <w:r w:rsidR="00847485" w:rsidRPr="001E57EA">
        <w:t>jedno</w:t>
      </w:r>
      <w:r w:rsidR="00C570A8" w:rsidRPr="001E57EA">
        <w:t>,</w:t>
      </w:r>
      <w:r w:rsidR="00847485" w:rsidRPr="001E57EA">
        <w:t xml:space="preserve"> sa 192 držav</w:t>
      </w:r>
      <w:r w:rsidR="00C570A8" w:rsidRPr="001E57EA">
        <w:t>e</w:t>
      </w:r>
      <w:r w:rsidR="00847485" w:rsidRPr="001E57EA">
        <w:t xml:space="preserve"> članic</w:t>
      </w:r>
      <w:r w:rsidR="00C570A8" w:rsidRPr="001E57EA">
        <w:t>e</w:t>
      </w:r>
      <w:r w:rsidR="00847485" w:rsidRPr="001E57EA">
        <w:t xml:space="preserve"> Ujedinjenih nacija, obavezala da će provesti Agendu 2030</w:t>
      </w:r>
      <w:r w:rsidR="000F54C9" w:rsidRPr="001E57EA">
        <w:t xml:space="preserve"> za održivi razvoj</w:t>
      </w:r>
      <w:r w:rsidR="00847485" w:rsidRPr="001E57EA">
        <w:t>, koja se sastoji od 17 ciljeva i 169 po</w:t>
      </w:r>
      <w:r w:rsidR="00C570A8" w:rsidRPr="001E57EA">
        <w:t>d</w:t>
      </w:r>
      <w:r w:rsidR="00847485" w:rsidRPr="001E57EA">
        <w:t>ciljeva.</w:t>
      </w:r>
      <w:r w:rsidR="008A38DA" w:rsidRPr="001E57EA">
        <w:t xml:space="preserve"> </w:t>
      </w:r>
      <w:r w:rsidR="00C47B3D" w:rsidRPr="001E57EA">
        <w:t>Takođe</w:t>
      </w:r>
      <w:r w:rsidR="00091D73" w:rsidRPr="001E57EA">
        <w:t>r</w:t>
      </w:r>
      <w:r w:rsidR="00C47B3D" w:rsidRPr="001E57EA">
        <w:t>, u Bosni i Hercegovini je u 2021. godini Vijeć</w:t>
      </w:r>
      <w:r w:rsidR="00091D73" w:rsidRPr="001E57EA">
        <w:t>e</w:t>
      </w:r>
      <w:r w:rsidR="00C47B3D" w:rsidRPr="001E57EA">
        <w:t xml:space="preserve"> ministara Bosne i Hercegovine</w:t>
      </w:r>
      <w:r w:rsidR="00091D73" w:rsidRPr="001E57EA">
        <w:t xml:space="preserve">, </w:t>
      </w:r>
      <w:r w:rsidR="00C47B3D" w:rsidRPr="001E57EA">
        <w:t>kao i entitetsk</w:t>
      </w:r>
      <w:r w:rsidR="00091D73" w:rsidRPr="001E57EA">
        <w:t>e</w:t>
      </w:r>
      <w:r w:rsidR="00C47B3D" w:rsidRPr="001E57EA">
        <w:t xml:space="preserve"> vlad</w:t>
      </w:r>
      <w:r w:rsidR="00091D73" w:rsidRPr="001E57EA">
        <w:t>e</w:t>
      </w:r>
      <w:r w:rsidR="00C47B3D" w:rsidRPr="001E57EA">
        <w:t xml:space="preserve"> i vlade Brčko distrikta,</w:t>
      </w:r>
      <w:r w:rsidR="00921AC6" w:rsidRPr="001E57EA">
        <w:t xml:space="preserve"> </w:t>
      </w:r>
      <w:r w:rsidR="00091D73" w:rsidRPr="001E57EA">
        <w:t xml:space="preserve">usvojili su </w:t>
      </w:r>
      <w:r w:rsidR="008A38DA" w:rsidRPr="001E57EA">
        <w:t>Okvir za realizaciju Ciljeva održivog razvoja u BiH</w:t>
      </w:r>
      <w:r w:rsidR="00C47B3D" w:rsidRPr="001E57EA">
        <w:t xml:space="preserve"> kojim su globalni Ciljevi održivog razvoja prilagođeni lokalnom </w:t>
      </w:r>
      <w:r w:rsidR="00091D73" w:rsidRPr="001E57EA">
        <w:t>kontekstu</w:t>
      </w:r>
      <w:r w:rsidR="00C47B3D" w:rsidRPr="001E57EA">
        <w:t xml:space="preserve">. Okvirom se promovira i princip „Niko ne smije biti izostavljen“ koji ima za cilj da </w:t>
      </w:r>
      <w:r w:rsidR="00091D73" w:rsidRPr="001E57EA">
        <w:t xml:space="preserve">ranjive </w:t>
      </w:r>
      <w:r w:rsidR="00C47B3D" w:rsidRPr="001E57EA">
        <w:t xml:space="preserve">kategorije društva </w:t>
      </w:r>
      <w:r w:rsidR="00091D73" w:rsidRPr="001E57EA">
        <w:t xml:space="preserve">budu prepoznate i </w:t>
      </w:r>
      <w:r w:rsidR="00C47B3D" w:rsidRPr="001E57EA">
        <w:t>uključ</w:t>
      </w:r>
      <w:r w:rsidR="00091D73" w:rsidRPr="001E57EA">
        <w:t>e se</w:t>
      </w:r>
      <w:r w:rsidR="00C47B3D" w:rsidRPr="001E57EA">
        <w:t xml:space="preserve"> u sve politike. Upravo se ovom strategijom fokusira na jednu specifičnu </w:t>
      </w:r>
      <w:r w:rsidR="00091D73" w:rsidRPr="001E57EA">
        <w:t xml:space="preserve">kategoriju </w:t>
      </w:r>
      <w:r w:rsidR="00C47B3D" w:rsidRPr="001E57EA">
        <w:t>stanovništva koj</w:t>
      </w:r>
      <w:r w:rsidR="00091D73" w:rsidRPr="001E57EA">
        <w:t>a</w:t>
      </w:r>
      <w:r w:rsidR="00C47B3D" w:rsidRPr="001E57EA">
        <w:t xml:space="preserve"> se </w:t>
      </w:r>
      <w:r w:rsidR="00091D73" w:rsidRPr="001E57EA">
        <w:t xml:space="preserve">susreće </w:t>
      </w:r>
      <w:r w:rsidR="00C47B3D" w:rsidRPr="001E57EA">
        <w:t>sa nasiljem u porodici, čime Federacija BiH daje značajan doprinos implementaciji Okvira i Ciljeva održivog razvoja.</w:t>
      </w:r>
      <w:r w:rsidR="00654443" w:rsidRPr="001E57EA">
        <w:t xml:space="preserve"> </w:t>
      </w:r>
    </w:p>
    <w:p w:rsidR="00124CAB" w:rsidRPr="001E57EA" w:rsidRDefault="00124CAB" w:rsidP="00390729">
      <w:pPr>
        <w:pStyle w:val="1naslov"/>
        <w:rPr>
          <w:color w:val="auto"/>
        </w:rPr>
      </w:pPr>
      <w:bookmarkStart w:id="4" w:name="_Toc145323800"/>
      <w:r w:rsidRPr="001E57EA">
        <w:rPr>
          <w:color w:val="auto"/>
        </w:rPr>
        <w:lastRenderedPageBreak/>
        <w:t>Strateška platforma</w:t>
      </w:r>
      <w:bookmarkEnd w:id="4"/>
    </w:p>
    <w:p w:rsidR="00D80CF5" w:rsidRPr="001E57EA" w:rsidRDefault="00D80CF5" w:rsidP="00BF3ED5">
      <w:pPr>
        <w:pStyle w:val="TekstStrategija"/>
      </w:pPr>
      <w:r w:rsidRPr="001E57EA">
        <w:t xml:space="preserve">Ustavom Federacije Bosne i Hercegovine, </w:t>
      </w:r>
      <w:r w:rsidR="00C31CB3" w:rsidRPr="001E57EA">
        <w:t>Član</w:t>
      </w:r>
      <w:r w:rsidRPr="001E57EA">
        <w:t>om II A. 2. i Amandmanom V utvrđeno je da će Federacija BiH osigurati primjenu najvišeg nivoa međunarodno priznatih prava i sloboda. Federacija Bosne i Hercegovine obavezna je da poštiva niz međunarodnopravnih dokumenata iz oblasti ljudskih prava, kojima se zabranjuje nasilje u javnom i privatnom životu, a time i nasilje u porodici. Dokumenti domaćeg i međunarodnopravnog karaktera obavezuju državu Bosnu i Hercegovinu, pa tako i njene entitete, na preduzimanje svih raspoloživih mjera kako bi se spriječilo nasilje u porodici, žrtve zaštitile u najvećoj mogućoj mjeri, a počinioci primjereno kaznili, uz osiguranje određenih programa za rad sa osobama koje su počinile nasilje.</w:t>
      </w:r>
    </w:p>
    <w:p w:rsidR="00D80CF5" w:rsidRPr="001E57EA" w:rsidRDefault="00D80CF5" w:rsidP="00BF3ED5">
      <w:pPr>
        <w:pStyle w:val="TekstStrategija"/>
      </w:pPr>
      <w:r w:rsidRPr="001E57EA">
        <w:t>Bosna i Hercegovina je ratificirala Konvenciju Vijeća Evrope o sprečavanju i borbi protiv nasilja nad ženama i nasilja u porodici - Istanbulska konvencija</w:t>
      </w:r>
      <w:r w:rsidRPr="001E57EA">
        <w:rPr>
          <w:rStyle w:val="FootnoteReference"/>
        </w:rPr>
        <w:footnoteReference w:id="4"/>
      </w:r>
      <w:r w:rsidRPr="001E57EA">
        <w:t xml:space="preserve">, čime je kao država preuzela obavezu da osigura </w:t>
      </w:r>
      <w:r w:rsidR="00064FB0" w:rsidRPr="001E57EA">
        <w:t>uvjet</w:t>
      </w:r>
      <w:r w:rsidRPr="001E57EA">
        <w:t>e za sprečavanje nasilja, provođenje istrage, kažnjavanje počinioca</w:t>
      </w:r>
      <w:r w:rsidR="00143B22" w:rsidRPr="001E57EA">
        <w:t xml:space="preserve"> nasilja</w:t>
      </w:r>
      <w:r w:rsidRPr="001E57EA">
        <w:t xml:space="preserve"> i osiguranje </w:t>
      </w:r>
      <w:r w:rsidR="00064FB0" w:rsidRPr="001E57EA">
        <w:t>uvjet</w:t>
      </w:r>
      <w:r w:rsidRPr="001E57EA">
        <w:t>a za reparacij</w:t>
      </w:r>
      <w:r w:rsidR="00C570A8" w:rsidRPr="001E57EA">
        <w:t>u</w:t>
      </w:r>
      <w:r w:rsidRPr="001E57EA">
        <w:t xml:space="preserve"> žrtvama nasilja. Bosna i Hercegovina je samim tim preuzela i odgovornost za nepostupanje u slučajevima nasilja nad ženama i nasilja u porodici, ukoliko kao država ne </w:t>
      </w:r>
      <w:r w:rsidR="005B3D01" w:rsidRPr="001E57EA">
        <w:t>osigur</w:t>
      </w:r>
      <w:r w:rsidR="00011B41" w:rsidRPr="001E57EA">
        <w:t xml:space="preserve">a </w:t>
      </w:r>
      <w:r w:rsidR="00064FB0" w:rsidRPr="001E57EA">
        <w:t>uvjet</w:t>
      </w:r>
      <w:r w:rsidRPr="001E57EA">
        <w:t>e za implementaciju obaveza preuzetih iz Konvencije. Bosna i Hercegovina je također ratificirala Konvenciju o eliminaciji svih oblika diskriminacije žena - CEDAW</w:t>
      </w:r>
      <w:r w:rsidRPr="001E57EA">
        <w:rPr>
          <w:rStyle w:val="FootnoteReference"/>
        </w:rPr>
        <w:footnoteReference w:id="5"/>
      </w:r>
      <w:r w:rsidRPr="001E57EA">
        <w:t xml:space="preserve"> i ona je sastavni dio Ustava Bosne i Hercegovine, te su samim tim odredbe ove konvencije obavezujuće. Zakonom o ravnopravnost</w:t>
      </w:r>
      <w:r w:rsidR="00143B22" w:rsidRPr="001E57EA">
        <w:t>i</w:t>
      </w:r>
      <w:r w:rsidRPr="001E57EA">
        <w:t xml:space="preserve"> spolova u Bosni i Hercegovini</w:t>
      </w:r>
      <w:r w:rsidR="00C570A8" w:rsidRPr="001E57EA">
        <w:t>,</w:t>
      </w:r>
      <w:r w:rsidRPr="001E57EA">
        <w:t xml:space="preserve"> kao oblik diskriminacije</w:t>
      </w:r>
      <w:r w:rsidR="00C570A8" w:rsidRPr="001E57EA">
        <w:t>,</w:t>
      </w:r>
      <w:r w:rsidRPr="001E57EA">
        <w:t xml:space="preserve"> prepoznaje se i nasilje po osnovu spola</w:t>
      </w:r>
      <w:r w:rsidRPr="001E57EA">
        <w:rPr>
          <w:rStyle w:val="FootnoteReference"/>
        </w:rPr>
        <w:footnoteReference w:id="6"/>
      </w:r>
      <w:r w:rsidRPr="001E57EA">
        <w:t>. Nasilje u porodici</w:t>
      </w:r>
      <w:r w:rsidR="00C570A8" w:rsidRPr="001E57EA">
        <w:t>,</w:t>
      </w:r>
      <w:r w:rsidRPr="001E57EA">
        <w:t xml:space="preserve"> kao krivično djelo</w:t>
      </w:r>
      <w:r w:rsidR="00C570A8" w:rsidRPr="001E57EA">
        <w:t>,</w:t>
      </w:r>
      <w:r w:rsidRPr="001E57EA">
        <w:t xml:space="preserve"> </w:t>
      </w:r>
      <w:r w:rsidR="00064FB0" w:rsidRPr="001E57EA">
        <w:t xml:space="preserve">definirano </w:t>
      </w:r>
      <w:r w:rsidRPr="001E57EA">
        <w:t xml:space="preserve">je </w:t>
      </w:r>
      <w:r w:rsidR="00C31CB3" w:rsidRPr="001E57EA">
        <w:t>Član</w:t>
      </w:r>
      <w:r w:rsidRPr="001E57EA">
        <w:t>om 222. Krivičnog zakona</w:t>
      </w:r>
      <w:r w:rsidRPr="001E57EA">
        <w:rPr>
          <w:rStyle w:val="FootnoteReference"/>
        </w:rPr>
        <w:footnoteReference w:id="7"/>
      </w:r>
      <w:r w:rsidRPr="001E57EA">
        <w:t>, te su predviđene sankcije za počinioce</w:t>
      </w:r>
      <w:r w:rsidR="00143B22" w:rsidRPr="001E57EA">
        <w:t xml:space="preserve"> nasilja</w:t>
      </w:r>
      <w:r w:rsidRPr="001E57EA">
        <w:t>. Također, posebnim propisom, odnosno Zakonom o zaštiti od nasilja u porodici</w:t>
      </w:r>
      <w:r w:rsidRPr="001E57EA">
        <w:rPr>
          <w:rStyle w:val="FootnoteReference"/>
        </w:rPr>
        <w:footnoteReference w:id="8"/>
      </w:r>
      <w:r w:rsidR="00C570A8" w:rsidRPr="001E57EA">
        <w:t>,</w:t>
      </w:r>
      <w:r w:rsidRPr="001E57EA">
        <w:t xml:space="preserve"> </w:t>
      </w:r>
      <w:r w:rsidR="00064FB0" w:rsidRPr="001E57EA">
        <w:t xml:space="preserve">definirani </w:t>
      </w:r>
      <w:r w:rsidRPr="001E57EA">
        <w:t>su mehanizmi zaštite žrtava nasilja u porodici. Imajući u vidu navedeno, osiguran je mehanizam za kontinuirano djelovanje i unapređenje sveobuhvatnog multisektorskog djelovanja koje podrazumijeva kako koordinaciju</w:t>
      </w:r>
      <w:r w:rsidR="00C570A8" w:rsidRPr="001E57EA">
        <w:t xml:space="preserve"> i</w:t>
      </w:r>
      <w:r w:rsidRPr="001E57EA">
        <w:t xml:space="preserve"> unapređenje pravnog okvira, tako i postupanje pravosuđa, policije, zdravstvenog, obrazovnog i sistema socijalne zaštite, ali i drugih servisa podrške što uključuje pravnu pomoć, smještaj u sigurne kuće, </w:t>
      </w:r>
      <w:r w:rsidR="00C570A8" w:rsidRPr="001E57EA">
        <w:t xml:space="preserve">SOS </w:t>
      </w:r>
      <w:r w:rsidRPr="001E57EA">
        <w:t xml:space="preserve">telefonske linije, ulogu nevladinih organizacija i slično. </w:t>
      </w:r>
    </w:p>
    <w:p w:rsidR="00124CAB" w:rsidRPr="001E57EA" w:rsidRDefault="00124CAB" w:rsidP="00EE4FC2">
      <w:pPr>
        <w:pStyle w:val="2naslov"/>
        <w:rPr>
          <w:rFonts w:cs="Arial"/>
        </w:rPr>
      </w:pPr>
      <w:bookmarkStart w:id="5" w:name="_Toc145323801"/>
      <w:r w:rsidRPr="001E57EA">
        <w:rPr>
          <w:rFonts w:cs="Arial"/>
        </w:rPr>
        <w:t xml:space="preserve">Situaciona analiza </w:t>
      </w:r>
      <w:r w:rsidR="00D80CF5" w:rsidRPr="001E57EA">
        <w:rPr>
          <w:rFonts w:cs="Arial"/>
        </w:rPr>
        <w:t>(izvod)</w:t>
      </w:r>
      <w:bookmarkEnd w:id="5"/>
    </w:p>
    <w:p w:rsidR="00D80CF5" w:rsidRPr="001E57EA" w:rsidRDefault="00D80CF5" w:rsidP="00BF3ED5">
      <w:pPr>
        <w:pStyle w:val="TekstStrategija"/>
      </w:pPr>
      <w:r w:rsidRPr="001E57EA">
        <w:t>Kako bi se sagledala cjelokupna situacija u praksi</w:t>
      </w:r>
      <w:r w:rsidR="00C570A8" w:rsidRPr="001E57EA">
        <w:t>,</w:t>
      </w:r>
      <w:r w:rsidRPr="001E57EA">
        <w:t xml:space="preserve"> slijedi kratki pregled stanja prema oblastima koje obuhvataju cjelokupan sistem djelovanja i to: prevencija nasilja u porodici, zaštita žrtava nasilja u porodici, te istražne i pravosudne radnje.</w:t>
      </w:r>
    </w:p>
    <w:p w:rsidR="006B66F0" w:rsidRPr="001E57EA" w:rsidRDefault="006B66F0" w:rsidP="008066CA">
      <w:pPr>
        <w:pStyle w:val="3naslov"/>
        <w:rPr>
          <w:rFonts w:cs="Arial"/>
        </w:rPr>
      </w:pPr>
      <w:bookmarkStart w:id="6" w:name="_Toc145323802"/>
      <w:r w:rsidRPr="001E57EA">
        <w:rPr>
          <w:rFonts w:cs="Arial"/>
        </w:rPr>
        <w:lastRenderedPageBreak/>
        <w:t>Prevencija</w:t>
      </w:r>
      <w:r w:rsidR="00D44F1C" w:rsidRPr="001E57EA">
        <w:rPr>
          <w:rFonts w:cs="Arial"/>
        </w:rPr>
        <w:t xml:space="preserve"> nasilja u porodici</w:t>
      </w:r>
      <w:bookmarkEnd w:id="6"/>
    </w:p>
    <w:p w:rsidR="007161A1" w:rsidRPr="001E57EA" w:rsidRDefault="007161A1" w:rsidP="00BF3ED5">
      <w:pPr>
        <w:pStyle w:val="TekstStrategija"/>
      </w:pPr>
      <w:r w:rsidRPr="001E57EA">
        <w:t xml:space="preserve">Promjena društvene svijesti zahtijeva promjenu individualnih obrazaca ponašanja, koji opet zahtijevaju društveni odgovor kako bi se prevenirali obrasci ponašanja koji dovode do nasilja u društvu, </w:t>
      </w:r>
      <w:r w:rsidR="006B0F4E" w:rsidRPr="001E57EA">
        <w:t>odnosno</w:t>
      </w:r>
      <w:r w:rsidRPr="001E57EA">
        <w:t xml:space="preserve"> nasilja u porodici.</w:t>
      </w:r>
      <w:r w:rsidR="000D7D46" w:rsidRPr="001E57EA">
        <w:t xml:space="preserve"> Prevencija obuhvata </w:t>
      </w:r>
      <w:r w:rsidR="006B0F4E" w:rsidRPr="001E57EA">
        <w:t xml:space="preserve">promotivne </w:t>
      </w:r>
      <w:r w:rsidR="00C57E03" w:rsidRPr="001E57EA">
        <w:t xml:space="preserve">kampanje, </w:t>
      </w:r>
      <w:r w:rsidR="000D7D46" w:rsidRPr="001E57EA">
        <w:t xml:space="preserve">programe obrazovanja, </w:t>
      </w:r>
      <w:r w:rsidR="00C57E03" w:rsidRPr="001E57EA">
        <w:t xml:space="preserve">podrške ekonomskom osnaživanju, </w:t>
      </w:r>
      <w:r w:rsidR="006B0F4E" w:rsidRPr="001E57EA">
        <w:t xml:space="preserve">obuke </w:t>
      </w:r>
      <w:r w:rsidR="000D7D46" w:rsidRPr="001E57EA">
        <w:t>profesionalaca koji se susreću sa problemom nasilja</w:t>
      </w:r>
      <w:r w:rsidR="00C57E03" w:rsidRPr="001E57EA">
        <w:t xml:space="preserve"> u porodici, </w:t>
      </w:r>
      <w:r w:rsidR="006C3ACE" w:rsidRPr="001E57EA">
        <w:t xml:space="preserve">kao i </w:t>
      </w:r>
      <w:r w:rsidR="00C57E03" w:rsidRPr="001E57EA">
        <w:t>rad</w:t>
      </w:r>
      <w:r w:rsidR="000D7D46" w:rsidRPr="001E57EA">
        <w:t xml:space="preserve"> sa počiniocima nasilja u porodici.</w:t>
      </w:r>
      <w:r w:rsidR="006B0F4E" w:rsidRPr="001E57EA">
        <w:t xml:space="preserve"> </w:t>
      </w:r>
      <w:r w:rsidR="00C57E03" w:rsidRPr="001E57EA">
        <w:t xml:space="preserve">Također, </w:t>
      </w:r>
      <w:r w:rsidR="007B4EB1" w:rsidRPr="001E57EA">
        <w:t xml:space="preserve">definiranjem </w:t>
      </w:r>
      <w:r w:rsidR="006B0F4E" w:rsidRPr="001E57EA">
        <w:t>fakto</w:t>
      </w:r>
      <w:r w:rsidR="00C57E03" w:rsidRPr="001E57EA">
        <w:t xml:space="preserve">ra rizika za nasilje u porodici, te </w:t>
      </w:r>
      <w:r w:rsidR="006B0F4E" w:rsidRPr="001E57EA">
        <w:t>djelova</w:t>
      </w:r>
      <w:r w:rsidR="00C57E03" w:rsidRPr="001E57EA">
        <w:t>njem</w:t>
      </w:r>
      <w:r w:rsidR="006B0F4E" w:rsidRPr="001E57EA">
        <w:t xml:space="preserve"> na pojedine pojave koje doprinose razvoju nasilnih obrazaca ponašanja</w:t>
      </w:r>
      <w:r w:rsidR="00C57E03" w:rsidRPr="001E57EA">
        <w:t>, moguće je dugoročno djelovati na društvene promjene koje bi dovele do društva sa nultom tolerancijom na nasilje u porodici.</w:t>
      </w:r>
    </w:p>
    <w:p w:rsidR="007661A6" w:rsidRPr="001E57EA" w:rsidRDefault="007661A6" w:rsidP="008066CA">
      <w:pPr>
        <w:pStyle w:val="4naslov"/>
        <w:rPr>
          <w:rFonts w:cs="Arial"/>
          <w:lang w:val="de-DE"/>
        </w:rPr>
      </w:pPr>
      <w:bookmarkStart w:id="7" w:name="_Toc145323803"/>
      <w:r w:rsidRPr="001E57EA">
        <w:rPr>
          <w:rFonts w:cs="Arial"/>
          <w:lang w:val="de-DE"/>
        </w:rPr>
        <w:t>Faktori rizika za nasilje u porodici</w:t>
      </w:r>
      <w:bookmarkEnd w:id="7"/>
    </w:p>
    <w:p w:rsidR="007661A6" w:rsidRPr="001E57EA" w:rsidRDefault="007D7548" w:rsidP="00BF3ED5">
      <w:pPr>
        <w:pStyle w:val="TekstStrategija"/>
      </w:pPr>
      <w:r w:rsidRPr="001E57EA">
        <w:t>Naučne spoznaje o fenomenu nasilja u porodici, kreću se od jednostavnih, monofaktorskih ka složenijim, multifaktorskim obrazloženjima</w:t>
      </w:r>
      <w:r w:rsidR="00C570A8" w:rsidRPr="001E57EA">
        <w:t xml:space="preserve">. Dakle, </w:t>
      </w:r>
      <w:r w:rsidRPr="001E57EA">
        <w:t xml:space="preserve">riječ </w:t>
      </w:r>
      <w:r w:rsidR="00C570A8" w:rsidRPr="001E57EA">
        <w:t xml:space="preserve">je </w:t>
      </w:r>
      <w:r w:rsidRPr="001E57EA">
        <w:t xml:space="preserve">o kompleksnoj pojavi čije se postojanje može objasniti samo složenom interakcijom faktora ličnosti (na nivou žrtve i </w:t>
      </w:r>
      <w:r w:rsidR="00C570A8" w:rsidRPr="001E57EA">
        <w:t>počinioca</w:t>
      </w:r>
      <w:r w:rsidRPr="001E57EA">
        <w:t>, gdje su vidljive bolesti ovisnosti i druga individualna obilježja), faktora na porodičnom nivou (funkcioniranje porodičnog sistema, vez</w:t>
      </w:r>
      <w:r w:rsidR="00C570A8" w:rsidRPr="001E57EA">
        <w:t>e</w:t>
      </w:r>
      <w:r w:rsidRPr="001E57EA">
        <w:t>, odnos</w:t>
      </w:r>
      <w:r w:rsidR="00C570A8" w:rsidRPr="001E57EA">
        <w:t>a</w:t>
      </w:r>
      <w:r w:rsidRPr="001E57EA">
        <w:t xml:space="preserve"> i komunikacij</w:t>
      </w:r>
      <w:r w:rsidR="00C570A8" w:rsidRPr="001E57EA">
        <w:t>e</w:t>
      </w:r>
      <w:r w:rsidRPr="001E57EA">
        <w:t>, itd.) i faktora na socio</w:t>
      </w:r>
      <w:r w:rsidR="00C570A8" w:rsidRPr="001E57EA">
        <w:t>-</w:t>
      </w:r>
      <w:r w:rsidRPr="001E57EA">
        <w:t xml:space="preserve">kulturnom nivou (kulturne norme i vrijednosti poput prihvatljivosti i tolerancije na nasilje općenito, </w:t>
      </w:r>
      <w:r w:rsidR="00C570A8" w:rsidRPr="001E57EA">
        <w:t xml:space="preserve">patrijarhalne </w:t>
      </w:r>
      <w:r w:rsidRPr="001E57EA">
        <w:t>vrijednosti, i sl.). Promjena društvenih normi zahtijeva promjenu individualnih obrazaca ponašanja</w:t>
      </w:r>
      <w:r w:rsidR="00CE7050" w:rsidRPr="001E57EA">
        <w:t>. Međutim, iako promjena navika i individualna spoznaja zahtijeva vrijeme</w:t>
      </w:r>
      <w:r w:rsidR="0019287B" w:rsidRPr="001E57EA">
        <w:t>,</w:t>
      </w:r>
      <w:r w:rsidR="00CE7050" w:rsidRPr="001E57EA">
        <w:t xml:space="preserve"> </w:t>
      </w:r>
      <w:r w:rsidR="0019287B" w:rsidRPr="001E57EA">
        <w:t>z</w:t>
      </w:r>
      <w:r w:rsidR="007661A6" w:rsidRPr="001E57EA">
        <w:t xml:space="preserve">a slučajeve koji nisu psihopatološki moguće je </w:t>
      </w:r>
      <w:r w:rsidR="007B4EB1" w:rsidRPr="001E57EA">
        <w:t xml:space="preserve">definirati </w:t>
      </w:r>
      <w:r w:rsidR="007661A6" w:rsidRPr="001E57EA">
        <w:t>faktore rizika. Osobe koje su evidentirane kao žrtve nasilja u porodici su u 13,47% slučajeva bile izložene nasilju u djetinjstvu, a u 15,8% slučajeva su svjedočile nasilju u djetinjstvu</w:t>
      </w:r>
      <w:r w:rsidR="00C570A8" w:rsidRPr="001E57EA">
        <w:t>. O</w:t>
      </w:r>
      <w:r w:rsidR="007661A6" w:rsidRPr="001E57EA">
        <w:t>sobe koje su evidentirane kao počinioci nasilja u porodici su u 21,97% slučajeva bili izloženi nasilju tokom djetinjstva, a u 23,93% slučajeva su svjedočili nasilju tokom djetinjstva</w:t>
      </w:r>
      <w:r w:rsidR="007661A6" w:rsidRPr="001E57EA">
        <w:rPr>
          <w:rStyle w:val="FootnoteReference"/>
        </w:rPr>
        <w:footnoteReference w:id="9"/>
      </w:r>
      <w:r w:rsidR="007661A6" w:rsidRPr="001E57EA">
        <w:t>.</w:t>
      </w:r>
    </w:p>
    <w:p w:rsidR="007661A6" w:rsidRPr="001E57EA" w:rsidRDefault="007661A6" w:rsidP="00BF3ED5">
      <w:pPr>
        <w:pStyle w:val="TekstStrategija"/>
      </w:pPr>
      <w:r w:rsidRPr="001E57EA">
        <w:t>Zloupotreba alkohola je registrovana kod 42,72% osoba koje su počinile nasilje u porodici, zloupotreba opojnih droga je registrovana kod 14,81% slučajeva, a ovisnost o kocki i igrama na sreću je registrovana kod 10,88% slučajeva nasilja u porodici</w:t>
      </w:r>
      <w:r w:rsidRPr="001E57EA">
        <w:rPr>
          <w:rStyle w:val="FootnoteReference"/>
        </w:rPr>
        <w:footnoteReference w:id="10"/>
      </w:r>
      <w:r w:rsidRPr="001E57EA">
        <w:t>. Žene čiji intimni partneri imaju problema sa konzumacijom alkohola ili droga češće su žrtve nasilja počinjenog od intimnog partnera</w:t>
      </w:r>
      <w:r w:rsidRPr="001E57EA">
        <w:rPr>
          <w:rStyle w:val="FootnoteReference"/>
        </w:rPr>
        <w:footnoteReference w:id="11"/>
      </w:r>
      <w:r w:rsidRPr="001E57EA">
        <w:t>.</w:t>
      </w:r>
      <w:r w:rsidR="00C57E03" w:rsidRPr="001E57EA">
        <w:t xml:space="preserve"> Također, liječenje od bolesti ovisnosti je pred</w:t>
      </w:r>
      <w:r w:rsidR="00064FB0" w:rsidRPr="001E57EA">
        <w:t>uvjet</w:t>
      </w:r>
      <w:r w:rsidR="00C57E03" w:rsidRPr="001E57EA">
        <w:t xml:space="preserve"> za rad sa počiniocima nasilja u porodici, jer nasilne obrasce ponašanja nije moguće promijeniti ukoliko se počinioci nasilja najprije ne izliječe od bolesti ovisnosti</w:t>
      </w:r>
      <w:r w:rsidR="00C57E03" w:rsidRPr="001E57EA">
        <w:rPr>
          <w:rStyle w:val="FootnoteReference"/>
        </w:rPr>
        <w:footnoteReference w:id="12"/>
      </w:r>
      <w:r w:rsidR="00C57E03" w:rsidRPr="001E57EA">
        <w:t>.</w:t>
      </w:r>
    </w:p>
    <w:p w:rsidR="007661A6" w:rsidRPr="001E57EA" w:rsidRDefault="007661A6" w:rsidP="00BF3ED5">
      <w:pPr>
        <w:pStyle w:val="TekstStrategija"/>
      </w:pPr>
      <w:r w:rsidRPr="001E57EA">
        <w:t xml:space="preserve">Osobe </w:t>
      </w:r>
      <w:r w:rsidR="00D80CF5" w:rsidRPr="001E57EA">
        <w:t xml:space="preserve">sa </w:t>
      </w:r>
      <w:r w:rsidRPr="001E57EA">
        <w:t>niž</w:t>
      </w:r>
      <w:r w:rsidR="00D80CF5" w:rsidRPr="001E57EA">
        <w:t>im stepenom</w:t>
      </w:r>
      <w:r w:rsidRPr="001E57EA">
        <w:t xml:space="preserve"> obrazovnog statusa su pod značajno većim rizikom da budu</w:t>
      </w:r>
      <w:r w:rsidR="00C570A8" w:rsidRPr="001E57EA">
        <w:t>,</w:t>
      </w:r>
      <w:r w:rsidRPr="001E57EA">
        <w:t xml:space="preserve"> kako žrtve</w:t>
      </w:r>
      <w:r w:rsidR="00C570A8" w:rsidRPr="001E57EA">
        <w:t>,</w:t>
      </w:r>
      <w:r w:rsidRPr="001E57EA">
        <w:t xml:space="preserve"> tako i počinioci nasilja u porodici. Naime, kada </w:t>
      </w:r>
      <w:r w:rsidR="00E81F1A" w:rsidRPr="001E57EA">
        <w:t>je riječ o registriranim</w:t>
      </w:r>
      <w:r w:rsidRPr="001E57EA">
        <w:t xml:space="preserve"> slučajevi</w:t>
      </w:r>
      <w:r w:rsidR="00E81F1A" w:rsidRPr="001E57EA">
        <w:t>ma</w:t>
      </w:r>
      <w:r w:rsidRPr="001E57EA">
        <w:t xml:space="preserve"> nasilja u porodici, među žrtvama se nalazi samo 13,47% osoba sa visokim </w:t>
      </w:r>
      <w:r w:rsidRPr="001E57EA">
        <w:lastRenderedPageBreak/>
        <w:t>školskim stepenom obrazovanja (fakultet, master ili doktorat), a među osobama koje su počinile nasilje u porodici je 11,07% osoba sa visokim školskim stepenom obrazovanja (fakultet, master ili doktorat), dok su ostali sa nižim</w:t>
      </w:r>
      <w:r w:rsidR="00D80CF5" w:rsidRPr="001E57EA">
        <w:t xml:space="preserve"> stepenom obrazovanja</w:t>
      </w:r>
      <w:r w:rsidRPr="001E57EA">
        <w:rPr>
          <w:rStyle w:val="FootnoteReference"/>
        </w:rPr>
        <w:footnoteReference w:id="13"/>
      </w:r>
      <w:r w:rsidRPr="001E57EA">
        <w:t>. Žene nižeg obrazovnog statusa češće su iskusile neki od oblika nasilja u odnosu na one sa višim obrazovnim statusom</w:t>
      </w:r>
      <w:r w:rsidRPr="001E57EA">
        <w:rPr>
          <w:rStyle w:val="FootnoteReference"/>
        </w:rPr>
        <w:footnoteReference w:id="14"/>
      </w:r>
      <w:r w:rsidRPr="001E57EA">
        <w:t>.</w:t>
      </w:r>
    </w:p>
    <w:p w:rsidR="00EB6DEF" w:rsidRPr="001E57EA" w:rsidRDefault="00EB6DEF">
      <w:pPr>
        <w:spacing w:after="0"/>
        <w:rPr>
          <w:rFonts w:ascii="Arial" w:hAnsi="Arial"/>
          <w:b/>
          <w:i/>
          <w:iCs/>
          <w:sz w:val="20"/>
          <w:szCs w:val="20"/>
          <w:lang w:val="bs-Latn-BA"/>
        </w:rPr>
      </w:pPr>
    </w:p>
    <w:p w:rsidR="006B0F4E" w:rsidRPr="001E57EA" w:rsidRDefault="00FF5E6F" w:rsidP="00FF5E6F">
      <w:pPr>
        <w:pStyle w:val="Tebeleigrafikoni"/>
      </w:pPr>
      <w:r w:rsidRPr="001E57EA">
        <w:t xml:space="preserve">Grafikon </w:t>
      </w:r>
      <w:r w:rsidRPr="001E57EA">
        <w:fldChar w:fldCharType="begin"/>
      </w:r>
      <w:r w:rsidRPr="001E57EA">
        <w:instrText xml:space="preserve"> SEQ Grafikon \* ARABIC </w:instrText>
      </w:r>
      <w:r w:rsidRPr="001E57EA">
        <w:fldChar w:fldCharType="separate"/>
      </w:r>
      <w:r w:rsidR="00524925" w:rsidRPr="001E57EA">
        <w:rPr>
          <w:noProof/>
        </w:rPr>
        <w:t>1</w:t>
      </w:r>
      <w:r w:rsidRPr="001E57EA">
        <w:fldChar w:fldCharType="end"/>
      </w:r>
      <w:r w:rsidRPr="001E57EA">
        <w:t>: Faktori rizika za nasilje u porodici</w:t>
      </w:r>
    </w:p>
    <w:p w:rsidR="00FF5E6F" w:rsidRPr="001E57EA" w:rsidRDefault="006C3AD2" w:rsidP="00FF5E6F">
      <w:pPr>
        <w:rPr>
          <w:rFonts w:ascii="Arial" w:hAnsi="Arial"/>
          <w:lang w:val="de-DE"/>
        </w:rPr>
      </w:pPr>
      <w:r w:rsidRPr="001E57EA">
        <w:rPr>
          <w:rFonts w:ascii="Arial" w:hAnsi="Arial"/>
          <w:noProof/>
          <w:lang w:val="en-GB" w:eastAsia="en-GB"/>
        </w:rPr>
        <w:drawing>
          <wp:inline distT="0" distB="0" distL="0" distR="0" wp14:anchorId="1DD48B38" wp14:editId="7DED9DB6">
            <wp:extent cx="5768340" cy="1788459"/>
            <wp:effectExtent l="0" t="0" r="3810" b="254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61A6" w:rsidRPr="001E57EA" w:rsidRDefault="007661A6" w:rsidP="00BF3ED5">
      <w:pPr>
        <w:pStyle w:val="TekstStrategija"/>
      </w:pPr>
      <w:r w:rsidRPr="001E57EA">
        <w:t xml:space="preserve">Istraživanje o </w:t>
      </w:r>
      <w:r w:rsidR="007B4EB1" w:rsidRPr="001E57EA">
        <w:t xml:space="preserve">utjecaju </w:t>
      </w:r>
      <w:r w:rsidRPr="001E57EA">
        <w:t xml:space="preserve">provedbe zaštitnih mjera </w:t>
      </w:r>
      <w:r w:rsidR="00064FB0" w:rsidRPr="001E57EA">
        <w:t xml:space="preserve">definiranih </w:t>
      </w:r>
      <w:r w:rsidR="00F51844" w:rsidRPr="001E57EA">
        <w:t xml:space="preserve">Zakonom o zaštiti od nasilja u porodici </w:t>
      </w:r>
      <w:r w:rsidRPr="001E57EA">
        <w:t>je pokazalo da 29,21% žrtava i 28,32% počinilaca nasilja nikad nije bilo zaposleno</w:t>
      </w:r>
      <w:r w:rsidRPr="001E57EA">
        <w:rPr>
          <w:rStyle w:val="FootnoteReference"/>
        </w:rPr>
        <w:footnoteReference w:id="15"/>
      </w:r>
      <w:r w:rsidRPr="001E57EA">
        <w:t>. Također, kod osoba koje su počinile nasilje u porodici u 26,16% slučajeva registrovan je i neki od drugih oblika krivičnih dijela osim nasilja u porodici, a u 30,06% i neki od oblika prekršaja. Prema Istraživanju o dobrobiti i sigurnosti žena u BiH</w:t>
      </w:r>
      <w:r w:rsidR="00C570A8" w:rsidRPr="001E57EA">
        <w:t>,</w:t>
      </w:r>
      <w:r w:rsidRPr="001E57EA">
        <w:t xml:space="preserve"> žene slabijeg materija</w:t>
      </w:r>
      <w:r w:rsidR="00E81F1A" w:rsidRPr="001E57EA">
        <w:t>l</w:t>
      </w:r>
      <w:r w:rsidRPr="001E57EA">
        <w:t>nog stanja češće su iskusile neki od oblika nasilja počinjen od intimnog partnera u odnosu na one boljeg materijalnog stanja</w:t>
      </w:r>
      <w:r w:rsidRPr="001E57EA">
        <w:rPr>
          <w:rStyle w:val="FootnoteReference"/>
        </w:rPr>
        <w:footnoteReference w:id="16"/>
      </w:r>
      <w:r w:rsidRPr="001E57EA">
        <w:t>.</w:t>
      </w:r>
    </w:p>
    <w:p w:rsidR="007661A6" w:rsidRPr="001E57EA" w:rsidRDefault="007661A6" w:rsidP="00BF3ED5">
      <w:pPr>
        <w:pStyle w:val="TekstStrategija"/>
      </w:pPr>
      <w:r w:rsidRPr="001E57EA">
        <w:t>Nasilje u porodici nesrazmjerno pogađa žene, što ukazuje na društvene okolnosti koje dovode žene u situaciju da budu pod rizikom od nasilja u porodici</w:t>
      </w:r>
      <w:r w:rsidRPr="001E57EA">
        <w:rPr>
          <w:rStyle w:val="FootnoteReference"/>
        </w:rPr>
        <w:footnoteReference w:id="17"/>
      </w:r>
      <w:r w:rsidRPr="001E57EA">
        <w:t>. Žene imaju veću šansu da budu povrijeđene</w:t>
      </w:r>
      <w:r w:rsidR="00E81F1A" w:rsidRPr="001E57EA">
        <w:t>,</w:t>
      </w:r>
      <w:r w:rsidRPr="001E57EA">
        <w:t xml:space="preserve"> kao rezultat nasilja, te deset puta veću šansu da budu ubijene</w:t>
      </w:r>
      <w:r w:rsidR="00E81F1A" w:rsidRPr="001E57EA">
        <w:t>,</w:t>
      </w:r>
      <w:r w:rsidRPr="001E57EA">
        <w:t xml:space="preserve"> kao rezultat nasilja</w:t>
      </w:r>
      <w:r w:rsidR="00E81F1A" w:rsidRPr="001E57EA">
        <w:t>,</w:t>
      </w:r>
      <w:r w:rsidRPr="001E57EA">
        <w:t xml:space="preserve"> nego muškarci (32,7% u odnosu na 3,1%).</w:t>
      </w:r>
      <w:r w:rsidR="00F51844" w:rsidRPr="001E57EA">
        <w:t xml:space="preserve"> </w:t>
      </w:r>
      <w:r w:rsidR="001149BF" w:rsidRPr="001E57EA">
        <w:t>Istraživanje OSCE-a iz 2019</w:t>
      </w:r>
      <w:r w:rsidR="00C570A8" w:rsidRPr="001E57EA">
        <w:t>.</w:t>
      </w:r>
      <w:r w:rsidR="001149BF" w:rsidRPr="001E57EA">
        <w:t xml:space="preserve"> godine je pokazalo da je 48% žena tokom života doživjelo neki od oblika nasilja, a 19% žena tokom posljednjih godinu dana</w:t>
      </w:r>
      <w:r w:rsidR="001149BF" w:rsidRPr="001E57EA">
        <w:rPr>
          <w:rStyle w:val="FootnoteReference"/>
        </w:rPr>
        <w:footnoteReference w:id="18"/>
      </w:r>
      <w:r w:rsidR="001149BF" w:rsidRPr="001E57EA">
        <w:t xml:space="preserve">. </w:t>
      </w:r>
      <w:r w:rsidRPr="001E57EA">
        <w:t xml:space="preserve">Istraživanje o </w:t>
      </w:r>
      <w:r w:rsidR="007B4EB1" w:rsidRPr="001E57EA">
        <w:t xml:space="preserve">utjecaju </w:t>
      </w:r>
      <w:r w:rsidRPr="001E57EA">
        <w:t>primjene zaštitih mjera je pokazalo da su nasilnici u 51,08% slučajeva bračni partneri, u 10,3% slučajeva bivši bračni partneri</w:t>
      </w:r>
      <w:r w:rsidR="00C570A8" w:rsidRPr="001E57EA">
        <w:t>. M</w:t>
      </w:r>
      <w:r w:rsidRPr="001E57EA">
        <w:t>eđutim</w:t>
      </w:r>
      <w:r w:rsidR="00C570A8" w:rsidRPr="001E57EA">
        <w:t>,</w:t>
      </w:r>
      <w:r w:rsidRPr="001E57EA">
        <w:t xml:space="preserve"> u 16,26% slučajeva počinilac je sin, u 6,5% slučajeva otac, u 2,72% slučajeva brat, ali su u određenoj mjeri počinioci </w:t>
      </w:r>
      <w:r w:rsidR="00013E15" w:rsidRPr="001E57EA">
        <w:t xml:space="preserve">nasilja </w:t>
      </w:r>
      <w:r w:rsidRPr="001E57EA">
        <w:t xml:space="preserve">unuke i unuci. </w:t>
      </w:r>
      <w:r w:rsidR="007B4EB1" w:rsidRPr="001E57EA">
        <w:t>U vezi s tim,</w:t>
      </w:r>
      <w:r w:rsidRPr="001E57EA">
        <w:t xml:space="preserve"> iako su i dalje počinioci nasilja najčešće osobe muškog spola, a žrtve </w:t>
      </w:r>
      <w:r w:rsidR="00013E15" w:rsidRPr="001E57EA">
        <w:t xml:space="preserve">nasilja </w:t>
      </w:r>
      <w:r w:rsidRPr="001E57EA">
        <w:t xml:space="preserve">osobe ženskog spola, primjetan je porast i drugih odnosa, jer je u porastu i nasilje </w:t>
      </w:r>
      <w:r w:rsidR="00091D73" w:rsidRPr="001E57EA">
        <w:t xml:space="preserve">koje su počinile mlade osobe </w:t>
      </w:r>
      <w:r w:rsidRPr="001E57EA">
        <w:t xml:space="preserve">prema starijima. </w:t>
      </w:r>
      <w:r w:rsidR="00747682" w:rsidRPr="001E57EA">
        <w:t>Također, djeca su kao žrtve nasilja prepoznat</w:t>
      </w:r>
      <w:r w:rsidR="00013E15" w:rsidRPr="001E57EA">
        <w:t>a</w:t>
      </w:r>
      <w:r w:rsidR="00747682" w:rsidRPr="001E57EA">
        <w:t xml:space="preserve"> u 7% prijavljenih slučajeva nasilja u porodici, u 52% slučajeva su svjedočili nasilju, a u samo 11% od tih sluč</w:t>
      </w:r>
      <w:r w:rsidR="000F60D1" w:rsidRPr="001E57EA">
        <w:t>a</w:t>
      </w:r>
      <w:r w:rsidR="00747682" w:rsidRPr="001E57EA">
        <w:t>j</w:t>
      </w:r>
      <w:r w:rsidR="000F60D1" w:rsidRPr="001E57EA">
        <w:t>e</w:t>
      </w:r>
      <w:r w:rsidR="00747682" w:rsidRPr="001E57EA">
        <w:t>va su prepoznate kao osobe koje su štićene zaštitnim mjerama.</w:t>
      </w:r>
    </w:p>
    <w:p w:rsidR="007161A1" w:rsidRPr="001E57EA" w:rsidRDefault="007161A1" w:rsidP="00BF3ED5">
      <w:pPr>
        <w:pStyle w:val="TekstStrategija"/>
      </w:pPr>
      <w:r w:rsidRPr="001E57EA">
        <w:lastRenderedPageBreak/>
        <w:t>Imajući u vidu navedeno, prevencija nasilja u porodici zahtijeva rano prepoznavanje i prevenciju nasilja u djetinjstvu, povećan obuhvat obrazovanja, ekonomsko osnaživanje, jačanje društvene svijesti, prevenciju drugih oblika krivičnih djela i prekršaja, te rano prepoznavanje i liječenje bolesti ovisnosti.</w:t>
      </w:r>
    </w:p>
    <w:p w:rsidR="009D3CD7" w:rsidRPr="001E57EA" w:rsidRDefault="00123AE3" w:rsidP="008066CA">
      <w:pPr>
        <w:pStyle w:val="4naslov"/>
        <w:rPr>
          <w:rFonts w:cs="Arial"/>
        </w:rPr>
      </w:pPr>
      <w:bookmarkStart w:id="8" w:name="_Toc145323804"/>
      <w:r w:rsidRPr="001E57EA">
        <w:rPr>
          <w:rFonts w:cs="Arial"/>
        </w:rPr>
        <w:t>Okvir za preventivno djelovanje</w:t>
      </w:r>
      <w:bookmarkEnd w:id="8"/>
    </w:p>
    <w:p w:rsidR="00EE06B7" w:rsidRPr="001E57EA" w:rsidRDefault="00A72965" w:rsidP="00BF3ED5">
      <w:pPr>
        <w:pStyle w:val="TekstStrategija"/>
        <w:rPr>
          <w:lang w:eastAsia="en-GB"/>
        </w:rPr>
      </w:pPr>
      <w:r w:rsidRPr="001E57EA">
        <w:t xml:space="preserve">Preventivno djelovanje u oblasti nasilja u porodici </w:t>
      </w:r>
      <w:r w:rsidR="001149BF" w:rsidRPr="001E57EA">
        <w:t>potrebno je</w:t>
      </w:r>
      <w:r w:rsidRPr="001E57EA">
        <w:t xml:space="preserve"> početi što ranije, jer se stavovi, uvjerenja i </w:t>
      </w:r>
      <w:r w:rsidR="007A720D" w:rsidRPr="001E57EA">
        <w:t>obrasci ponašanja formiraju od najranije životne dobi</w:t>
      </w:r>
      <w:r w:rsidRPr="001E57EA">
        <w:t xml:space="preserve">. </w:t>
      </w:r>
      <w:r w:rsidR="007B4EB1" w:rsidRPr="001E57EA">
        <w:t>U vezi s tim,</w:t>
      </w:r>
      <w:r w:rsidRPr="001E57EA">
        <w:t xml:space="preserve"> najveći utjecaj na kasnije ponašanje, ali i najveću odgovornost u odgoju i obrazovanju djeteta</w:t>
      </w:r>
      <w:r w:rsidR="00A6750A" w:rsidRPr="001E57EA">
        <w:t>,</w:t>
      </w:r>
      <w:r w:rsidRPr="001E57EA">
        <w:t xml:space="preserve"> osim roditelja</w:t>
      </w:r>
      <w:r w:rsidR="00A6750A" w:rsidRPr="001E57EA">
        <w:t>,</w:t>
      </w:r>
      <w:r w:rsidRPr="001E57EA">
        <w:t xml:space="preserve"> imaju odgojno-obrazovne ustanove. Kvalitetnim nastavnim planovima i programima, adekvatnom opremljenošću ustanova i edukacijom nastavnog osoblja, ali i drugog osoblja koje je angažirano u obrazovnom sistemu</w:t>
      </w:r>
      <w:r w:rsidR="000A3CE7" w:rsidRPr="001E57EA">
        <w:t>, kvalitetnim medijskim kampanjama, te obrazovnim programima u medijima</w:t>
      </w:r>
      <w:r w:rsidR="00A6750A" w:rsidRPr="001E57EA">
        <w:t>,</w:t>
      </w:r>
      <w:r w:rsidR="00921AC6" w:rsidRPr="001E57EA">
        <w:t xml:space="preserve"> </w:t>
      </w:r>
      <w:r w:rsidRPr="001E57EA">
        <w:t xml:space="preserve">mogu se postaviti dobre osnove za pravilan razvoj djeteta uz obaveznu saradnju roditelja u cjelokupnom nastavnom procesu. </w:t>
      </w:r>
      <w:r w:rsidR="001149BF" w:rsidRPr="001E57EA">
        <w:t>Na ovaj način</w:t>
      </w:r>
      <w:r w:rsidR="00EE06B7" w:rsidRPr="001E57EA">
        <w:rPr>
          <w:lang w:eastAsia="en-GB"/>
        </w:rPr>
        <w:t xml:space="preserve"> promi</w:t>
      </w:r>
      <w:r w:rsidR="00535988" w:rsidRPr="001E57EA">
        <w:rPr>
          <w:lang w:eastAsia="en-GB"/>
        </w:rPr>
        <w:t>ču se</w:t>
      </w:r>
      <w:r w:rsidR="00EE06B7" w:rsidRPr="001E57EA">
        <w:rPr>
          <w:lang w:eastAsia="en-GB"/>
        </w:rPr>
        <w:t xml:space="preserve"> vrijednosti ravnopravnosti spolova, uzajamno poštovanje i nenasilje u međuljudskim odnosima, nestereotipne rodne uloge, pravo na lični integritet i svijest o </w:t>
      </w:r>
      <w:r w:rsidR="001149BF" w:rsidRPr="001E57EA">
        <w:rPr>
          <w:lang w:eastAsia="en-GB"/>
        </w:rPr>
        <w:t>nasilnim obrascima ponašanja.</w:t>
      </w:r>
      <w:r w:rsidR="00EE06B7" w:rsidRPr="001E57EA">
        <w:rPr>
          <w:lang w:eastAsia="en-GB"/>
        </w:rPr>
        <w:t xml:space="preserve"> </w:t>
      </w:r>
    </w:p>
    <w:p w:rsidR="00A72965" w:rsidRPr="001E57EA" w:rsidRDefault="00A72965" w:rsidP="00BF3ED5">
      <w:pPr>
        <w:pStyle w:val="TekstStrategija"/>
        <w:rPr>
          <w:b/>
          <w:lang w:eastAsia="bs-Latn-BA"/>
        </w:rPr>
      </w:pPr>
      <w:r w:rsidRPr="001E57EA">
        <w:t>Međutim, obuhvat djece predškolskim obrazovanjem za područje Federacije BiH je u pedagoškoj 2020/2021. godini bio 15.675 djece </w:t>
      </w:r>
      <w:r w:rsidR="001149BF" w:rsidRPr="001E57EA">
        <w:t>(od toga 47,56% djevojčica) kojima na raspolaganju stoji</w:t>
      </w:r>
      <w:r w:rsidR="00A6750A" w:rsidRPr="001E57EA">
        <w:t xml:space="preserve"> </w:t>
      </w:r>
      <w:r w:rsidRPr="001E57EA">
        <w:t>214 predškolskih ustanova.</w:t>
      </w:r>
      <w:r w:rsidR="00921AC6" w:rsidRPr="001E57EA">
        <w:rPr>
          <w:vertAlign w:val="superscript"/>
        </w:rPr>
        <w:t xml:space="preserve"> </w:t>
      </w:r>
      <w:r w:rsidR="001A1F15" w:rsidRPr="001E57EA">
        <w:t>Ukupan obuhvat djece predškolskim odgojem i obrazovanjem je 25%.</w:t>
      </w:r>
      <w:r w:rsidR="001A1F15" w:rsidRPr="001E57EA">
        <w:rPr>
          <w:rStyle w:val="FootnoteReference"/>
        </w:rPr>
        <w:footnoteReference w:id="19"/>
      </w:r>
      <w:r w:rsidR="001A1F15" w:rsidRPr="001E57EA">
        <w:t xml:space="preserve"> </w:t>
      </w:r>
      <w:r w:rsidRPr="001E57EA">
        <w:t>Kod djece upisane u predškolske ustanove</w:t>
      </w:r>
      <w:r w:rsidR="00A6750A" w:rsidRPr="001E57EA">
        <w:t xml:space="preserve"> </w:t>
      </w:r>
      <w:r w:rsidRPr="001E57EA">
        <w:t>u</w:t>
      </w:r>
      <w:r w:rsidR="00A6750A" w:rsidRPr="001E57EA">
        <w:t xml:space="preserve"> </w:t>
      </w:r>
      <w:r w:rsidRPr="001E57EA">
        <w:t>85,24% slučajeva su zaposlena oba roditelja, u 13,48% slučajeva jedan roditelj, 1,7% su samohrani roditelji i 1,15% su djec</w:t>
      </w:r>
      <w:r w:rsidR="00013E15" w:rsidRPr="001E57EA">
        <w:t>a čiji roditelji nisu zaposleni, p</w:t>
      </w:r>
      <w:r w:rsidRPr="001E57EA">
        <w:t>uni iznos plaća 85,81% roditelja, do</w:t>
      </w:r>
      <w:r w:rsidR="007A720D" w:rsidRPr="001E57EA">
        <w:t>k ostali plaćaju umanjeni iznos</w:t>
      </w:r>
      <w:r w:rsidR="007A720D" w:rsidRPr="001E57EA">
        <w:rPr>
          <w:rStyle w:val="FootnoteReference"/>
        </w:rPr>
        <w:footnoteReference w:id="20"/>
      </w:r>
      <w:r w:rsidRPr="001E57EA">
        <w:t>.</w:t>
      </w:r>
      <w:r w:rsidRPr="001E57EA">
        <w:rPr>
          <w:bCs/>
          <w:iCs/>
          <w:lang w:eastAsia="bs-Latn-BA"/>
        </w:rPr>
        <w:t xml:space="preserve"> </w:t>
      </w:r>
      <w:r w:rsidR="005112A5" w:rsidRPr="001E57EA">
        <w:rPr>
          <w:bCs/>
          <w:iCs/>
          <w:lang w:eastAsia="bs-Latn-BA"/>
        </w:rPr>
        <w:t>S obzirom na nedovoljan obuhvat djece predškolskim obrazovanjem, kao i neravnomjernu dostupnost ove usluge ovisno o pojedinim lokalnim zajednicama</w:t>
      </w:r>
      <w:r w:rsidR="009E7789" w:rsidRPr="001E57EA">
        <w:rPr>
          <w:bCs/>
          <w:iCs/>
          <w:lang w:eastAsia="bs-Latn-BA"/>
        </w:rPr>
        <w:t>,</w:t>
      </w:r>
      <w:r w:rsidR="005112A5" w:rsidRPr="001E57EA">
        <w:rPr>
          <w:bCs/>
          <w:iCs/>
          <w:lang w:eastAsia="bs-Latn-BA"/>
        </w:rPr>
        <w:t xml:space="preserve"> d</w:t>
      </w:r>
      <w:r w:rsidRPr="001E57EA">
        <w:rPr>
          <w:lang w:eastAsia="bs-Latn-BA"/>
        </w:rPr>
        <w:t xml:space="preserve">jelovanje u ranoj dobi usmjereno </w:t>
      </w:r>
      <w:r w:rsidR="009E7789" w:rsidRPr="001E57EA">
        <w:rPr>
          <w:lang w:eastAsia="bs-Latn-BA"/>
        </w:rPr>
        <w:t xml:space="preserve">na razvoj djece </w:t>
      </w:r>
      <w:r w:rsidR="00535988" w:rsidRPr="001E57EA">
        <w:rPr>
          <w:lang w:eastAsia="bs-Latn-BA"/>
        </w:rPr>
        <w:t xml:space="preserve">s ciljem </w:t>
      </w:r>
      <w:r w:rsidRPr="001E57EA">
        <w:rPr>
          <w:lang w:eastAsia="bs-Latn-BA"/>
        </w:rPr>
        <w:t>omogućavanj</w:t>
      </w:r>
      <w:r w:rsidR="00535988" w:rsidRPr="001E57EA">
        <w:rPr>
          <w:lang w:eastAsia="bs-Latn-BA"/>
        </w:rPr>
        <w:t>a</w:t>
      </w:r>
      <w:r w:rsidRPr="001E57EA">
        <w:rPr>
          <w:lang w:eastAsia="bs-Latn-BA"/>
        </w:rPr>
        <w:t xml:space="preserve"> sigurnog i kvalitetnog okruženja za pravilan rast i razvoj djece i zaštitu od svih oblika nasilja</w:t>
      </w:r>
      <w:r w:rsidR="009E7789" w:rsidRPr="001E57EA">
        <w:rPr>
          <w:lang w:eastAsia="bs-Latn-BA"/>
        </w:rPr>
        <w:t xml:space="preserve"> je otežano</w:t>
      </w:r>
      <w:r w:rsidR="00535988" w:rsidRPr="001E57EA">
        <w:rPr>
          <w:rStyle w:val="FootnoteReference"/>
          <w:bCs/>
          <w:iCs/>
          <w:lang w:eastAsia="bs-Latn-BA"/>
        </w:rPr>
        <w:footnoteReference w:id="21"/>
      </w:r>
      <w:r w:rsidRPr="001E57EA">
        <w:rPr>
          <w:lang w:eastAsia="bs-Latn-BA"/>
        </w:rPr>
        <w:t>.</w:t>
      </w:r>
    </w:p>
    <w:p w:rsidR="00A72965" w:rsidRPr="001E57EA" w:rsidRDefault="00535988" w:rsidP="00BF3ED5">
      <w:pPr>
        <w:pStyle w:val="TekstStrategija"/>
        <w:rPr>
          <w:lang w:eastAsia="bs-Latn-BA"/>
        </w:rPr>
      </w:pPr>
      <w:r w:rsidRPr="001E57EA">
        <w:rPr>
          <w:lang w:eastAsia="bs-Latn-BA"/>
        </w:rPr>
        <w:t>Z</w:t>
      </w:r>
      <w:r w:rsidR="00A72965" w:rsidRPr="001E57EA">
        <w:rPr>
          <w:lang w:eastAsia="bs-Latn-BA"/>
        </w:rPr>
        <w:t xml:space="preserve">akonima o predškolskom, osnovnom, srednjem i visokom obrazovanju uređeno je obavljanje djelatnosti odgoja i obrazovanja, čija je svrha da </w:t>
      </w:r>
      <w:r w:rsidR="00A6750A" w:rsidRPr="001E57EA">
        <w:rPr>
          <w:lang w:eastAsia="bs-Latn-BA"/>
        </w:rPr>
        <w:t xml:space="preserve">se </w:t>
      </w:r>
      <w:r w:rsidR="00A72965" w:rsidRPr="001E57EA">
        <w:rPr>
          <w:lang w:eastAsia="bs-Latn-BA"/>
        </w:rPr>
        <w:t>kroz optimalni, intelektualni, fizički, moralni i društveni razvoj pojedinca, u skladu sa njegovim mogućnostima i sposobnostima, doprinese stvaranju društva zasnovanog na vladavini zakona, poštivanja ljudskih prava i unapređenju životnog standarda građana</w:t>
      </w:r>
      <w:r w:rsidR="00730317" w:rsidRPr="001E57EA">
        <w:rPr>
          <w:rStyle w:val="FootnoteReference"/>
          <w:lang w:eastAsia="bs-Latn-BA"/>
        </w:rPr>
        <w:footnoteReference w:id="22"/>
      </w:r>
      <w:r w:rsidR="00A72965" w:rsidRPr="001E57EA">
        <w:rPr>
          <w:lang w:eastAsia="bs-Latn-BA"/>
        </w:rPr>
        <w:t xml:space="preserve">. </w:t>
      </w:r>
    </w:p>
    <w:p w:rsidR="00EE06B7" w:rsidRPr="001E57EA" w:rsidRDefault="00A72965" w:rsidP="00BF3ED5">
      <w:pPr>
        <w:pStyle w:val="TekstStrategija"/>
      </w:pPr>
      <w:r w:rsidRPr="001E57EA">
        <w:t>Uvođenjem pokazatelja o djeci koja napuštaju školovanje s razlozima napuštanja osnovnih i srednjih škola</w:t>
      </w:r>
      <w:r w:rsidR="00A6750A" w:rsidRPr="001E57EA">
        <w:t>,</w:t>
      </w:r>
      <w:r w:rsidRPr="001E57EA">
        <w:t xml:space="preserve"> znatno je unaprijeđen sistem prikupljanja i objavljivanja podataka</w:t>
      </w:r>
      <w:r w:rsidR="009E7789" w:rsidRPr="001E57EA">
        <w:t xml:space="preserve"> u </w:t>
      </w:r>
      <w:r w:rsidRPr="001E57EA">
        <w:t>Statističkom biltenu Federalnog zavoda za statistiku</w:t>
      </w:r>
      <w:r w:rsidR="009E7789" w:rsidRPr="001E57EA">
        <w:t xml:space="preserve">, te je omogućeno </w:t>
      </w:r>
      <w:r w:rsidR="009E7789" w:rsidRPr="001E57EA">
        <w:lastRenderedPageBreak/>
        <w:t>praćenje kretanja i odgovarajuće djelovanje</w:t>
      </w:r>
      <w:r w:rsidRPr="001E57EA">
        <w:t>. Tako je</w:t>
      </w:r>
      <w:r w:rsidR="00A6750A" w:rsidRPr="001E57EA">
        <w:t>,</w:t>
      </w:r>
      <w:r w:rsidRPr="001E57EA">
        <w:t xml:space="preserve"> prema ovim podacima</w:t>
      </w:r>
      <w:r w:rsidR="00A6750A" w:rsidRPr="001E57EA">
        <w:t>,</w:t>
      </w:r>
      <w:r w:rsidRPr="001E57EA">
        <w:t> u školskoj 2019/2020. godini u osnovnom obrazovanju 5.014 učenika promijenilo školu, dok je 177 učenika (od toga 37,28% učenica) prekinulo školovanje</w:t>
      </w:r>
      <w:r w:rsidR="00EE06B7" w:rsidRPr="001E57EA">
        <w:rPr>
          <w:rStyle w:val="FootnoteReference"/>
        </w:rPr>
        <w:footnoteReference w:id="23"/>
      </w:r>
      <w:r w:rsidRPr="001E57EA">
        <w:t xml:space="preserve">. </w:t>
      </w:r>
    </w:p>
    <w:p w:rsidR="00A72965" w:rsidRPr="001E57EA" w:rsidRDefault="00A72965" w:rsidP="00BF3ED5">
      <w:pPr>
        <w:pStyle w:val="TekstStrategija"/>
      </w:pPr>
      <w:r w:rsidRPr="001E57EA">
        <w:t xml:space="preserve">Radi unapređenja slabog obuhvata vulnerabilnih grupa obrazovanjem, Federalno ministarstvo obrazovanja i nauke, kontinuirano daje </w:t>
      </w:r>
      <w:r w:rsidRPr="001E57EA">
        <w:rPr>
          <w:bCs/>
        </w:rPr>
        <w:t>podrš</w:t>
      </w:r>
      <w:r w:rsidR="00DE5CA9" w:rsidRPr="001E57EA">
        <w:rPr>
          <w:bCs/>
        </w:rPr>
        <w:t>ku studentima sa invaliditetom</w:t>
      </w:r>
      <w:r w:rsidRPr="001E57EA">
        <w:rPr>
          <w:bCs/>
        </w:rPr>
        <w:t>, kao i</w:t>
      </w:r>
      <w:r w:rsidRPr="001E57EA">
        <w:t xml:space="preserve"> podršku predškolskim ustanovama, osnovnim i srednjim školama, stručnim udruženjima, nevladinim organizacijama i pojedincima, nosiocima projekta iz domena inkluzivnog obrazovanja</w:t>
      </w:r>
      <w:r w:rsidR="003D13A9" w:rsidRPr="001E57EA">
        <w:t>, kao i</w:t>
      </w:r>
      <w:r w:rsidR="00DE5CA9" w:rsidRPr="001E57EA">
        <w:t xml:space="preserve"> program</w:t>
      </w:r>
      <w:r w:rsidR="00A6750A" w:rsidRPr="001E57EA">
        <w:t>u</w:t>
      </w:r>
      <w:r w:rsidR="00DE5CA9" w:rsidRPr="001E57EA">
        <w:t xml:space="preserve"> podrške </w:t>
      </w:r>
      <w:r w:rsidR="00A6750A" w:rsidRPr="001E57EA">
        <w:t xml:space="preserve">školovanja </w:t>
      </w:r>
      <w:r w:rsidR="00DE5CA9" w:rsidRPr="001E57EA">
        <w:t>djece romske nacionalnosti i drugih nacionalnih manjina i socijalno ugroženih kategorija</w:t>
      </w:r>
      <w:r w:rsidR="00DE5CA9" w:rsidRPr="001E57EA">
        <w:rPr>
          <w:rStyle w:val="FootnoteReference"/>
        </w:rPr>
        <w:footnoteReference w:id="24"/>
      </w:r>
      <w:r w:rsidR="00DE5CA9" w:rsidRPr="001E57EA">
        <w:t>.</w:t>
      </w:r>
    </w:p>
    <w:p w:rsidR="00A72965" w:rsidRPr="001E57EA" w:rsidRDefault="00DE5CA9" w:rsidP="00BF3ED5">
      <w:pPr>
        <w:pStyle w:val="TekstStrategija"/>
      </w:pPr>
      <w:r w:rsidRPr="001E57EA">
        <w:t xml:space="preserve">S ciljem ekonomskog jačanja i ublažavanja posljedica neravnopravnosti, </w:t>
      </w:r>
      <w:r w:rsidR="00A72965" w:rsidRPr="001E57EA">
        <w:rPr>
          <w:lang w:val="hr-BA"/>
        </w:rPr>
        <w:t xml:space="preserve">Federalno ministarstvo obrazovanja i nauke daje </w:t>
      </w:r>
      <w:r w:rsidR="00A72965" w:rsidRPr="001E57EA">
        <w:t>podršku programima obuke, stručnog osposobljavanja i usavršavanja odraslih osoba</w:t>
      </w:r>
      <w:r w:rsidR="00A6750A" w:rsidRPr="001E57EA">
        <w:t>,</w:t>
      </w:r>
      <w:r w:rsidR="00A72965" w:rsidRPr="001E57EA">
        <w:t xml:space="preserve"> s fokusom na žene</w:t>
      </w:r>
      <w:r w:rsidR="00A6750A" w:rsidRPr="001E57EA">
        <w:t>,</w:t>
      </w:r>
      <w:r w:rsidR="00A72965" w:rsidRPr="001E57EA">
        <w:t xml:space="preserve"> radi lakše integracije na tržište rada.</w:t>
      </w:r>
    </w:p>
    <w:p w:rsidR="00DE5CA9" w:rsidRPr="001E57EA" w:rsidRDefault="00DE5CA9" w:rsidP="00BF3ED5">
      <w:pPr>
        <w:pStyle w:val="TekstStrategija"/>
      </w:pPr>
      <w:r w:rsidRPr="001E57EA">
        <w:t>Također, provode se aktivnosti unapređenja nastavnih sadržaja s ciljem kreiranja rodno osjetljivih i nestereotipiziranih nastavnih planova i programa, te pratećih udžbenika i nastavnih materijala</w:t>
      </w:r>
      <w:r w:rsidRPr="001E57EA">
        <w:rPr>
          <w:rStyle w:val="FootnoteReference"/>
        </w:rPr>
        <w:footnoteReference w:id="25"/>
      </w:r>
      <w:r w:rsidRPr="001E57EA">
        <w:t>.</w:t>
      </w:r>
    </w:p>
    <w:p w:rsidR="00DE5CA9" w:rsidRPr="001E57EA" w:rsidRDefault="00A72965" w:rsidP="00BF3ED5">
      <w:pPr>
        <w:pStyle w:val="TekstStrategija"/>
      </w:pPr>
      <w:r w:rsidRPr="001E57EA">
        <w:t>Osim navedenog</w:t>
      </w:r>
      <w:r w:rsidR="00A6750A" w:rsidRPr="001E57EA">
        <w:t>,</w:t>
      </w:r>
      <w:r w:rsidRPr="001E57EA">
        <w:t xml:space="preserve"> provode se i dru</w:t>
      </w:r>
      <w:r w:rsidR="00013E15" w:rsidRPr="001E57EA">
        <w:t>gi preventivni programi u kojim</w:t>
      </w:r>
      <w:r w:rsidRPr="001E57EA">
        <w:t xml:space="preserve">a se kroz sistem obrazovanja pravi </w:t>
      </w:r>
      <w:r w:rsidR="007B4EB1" w:rsidRPr="001E57EA">
        <w:t xml:space="preserve">utjecaj </w:t>
      </w:r>
      <w:r w:rsidRPr="001E57EA">
        <w:t>na promjenu individualnih obrazaca ponašanja</w:t>
      </w:r>
      <w:r w:rsidR="003D13A9" w:rsidRPr="001E57EA">
        <w:t>,</w:t>
      </w:r>
      <w:r w:rsidRPr="001E57EA">
        <w:t xml:space="preserve"> kroz sistem uvođenja sistematske prevencije neprihvatljivih oblika ponašanja i zaštite učenika u osnovnim školama u kantonima u F</w:t>
      </w:r>
      <w:r w:rsidR="00013E15" w:rsidRPr="001E57EA">
        <w:t xml:space="preserve">ederaciji </w:t>
      </w:r>
      <w:r w:rsidRPr="001E57EA">
        <w:t>BiH</w:t>
      </w:r>
      <w:r w:rsidR="00A6750A" w:rsidRPr="001E57EA">
        <w:t xml:space="preserve">. Cilj je </w:t>
      </w:r>
      <w:r w:rsidRPr="001E57EA">
        <w:t>uspostavljanje</w:t>
      </w:r>
      <w:r w:rsidR="00921AC6" w:rsidRPr="001E57EA">
        <w:t xml:space="preserve"> </w:t>
      </w:r>
      <w:r w:rsidRPr="001E57EA">
        <w:t xml:space="preserve">održivog i </w:t>
      </w:r>
      <w:r w:rsidR="00A6750A" w:rsidRPr="001E57EA">
        <w:t xml:space="preserve">efikasnog </w:t>
      </w:r>
      <w:r w:rsidRPr="001E57EA">
        <w:t xml:space="preserve">modela prevencije neprihvatljivih </w:t>
      </w:r>
      <w:r w:rsidR="00A33AEE" w:rsidRPr="001E57EA">
        <w:t xml:space="preserve">oblika </w:t>
      </w:r>
      <w:r w:rsidRPr="001E57EA">
        <w:t xml:space="preserve">ponašanja i zaštite učenika, baziranih na najboljem interesu djeteta </w:t>
      </w:r>
      <w:r w:rsidR="00A6750A" w:rsidRPr="001E57EA">
        <w:t xml:space="preserve">- </w:t>
      </w:r>
      <w:r w:rsidRPr="001E57EA">
        <w:t xml:space="preserve">daje se sistematski odgovor kroz grupni rad, individualni plan podrške učeniku (IPP) i individualni plan brige za učenika (IPB). </w:t>
      </w:r>
    </w:p>
    <w:p w:rsidR="000E2C8D" w:rsidRPr="001E57EA" w:rsidRDefault="007F65A1" w:rsidP="00BF3ED5">
      <w:pPr>
        <w:pStyle w:val="TekstStrategija"/>
      </w:pPr>
      <w:r w:rsidRPr="001E57EA">
        <w:t>Prepoznavanje znakova nasilja u porodici i pravovremeno reagiranje moguće je u zdravstvenim ustanovama uspostavljanjem sistema u kojem se zdravstvene ustanove prepoznaju kao mjesto od povjerenja, a zdravstveni radnici</w:t>
      </w:r>
      <w:r w:rsidR="00921AC6" w:rsidRPr="001E57EA">
        <w:t xml:space="preserve"> </w:t>
      </w:r>
      <w:r w:rsidR="00AA19D8" w:rsidRPr="001E57EA">
        <w:t xml:space="preserve">i saradnici </w:t>
      </w:r>
      <w:r w:rsidR="00013E15" w:rsidRPr="001E57EA">
        <w:t xml:space="preserve">u zdravstvenim ustanovama </w:t>
      </w:r>
      <w:r w:rsidRPr="001E57EA">
        <w:t>imaju jasne smjernice djelovanja uz potrebnu senzibilizaciju za adekvatno reagiranje u pojedinim slučajevima nasilja u porodici.</w:t>
      </w:r>
      <w:r w:rsidR="00123AE3" w:rsidRPr="001E57EA">
        <w:t xml:space="preserve"> </w:t>
      </w:r>
      <w:r w:rsidR="007B4EB1" w:rsidRPr="001E57EA">
        <w:t>U vezi s tim,</w:t>
      </w:r>
      <w:r w:rsidR="00123AE3" w:rsidRPr="001E57EA">
        <w:t xml:space="preserve"> Standardne operativne procedure za prepoznavanje nasilja i postupanje u slučajevima nasilja razvijene su za primarni nivo zdravstvene zaštite. Određeni broj domova zdravlja usvojio je interne protokole o saradnji između službi čiji sastavni dio čine i ove standardne operativne procedure. U odnosu na raniji period bilježi se postepeni napredak, posebno u dije</w:t>
      </w:r>
      <w:r w:rsidR="00013E15" w:rsidRPr="001E57EA">
        <w:t>l</w:t>
      </w:r>
      <w:r w:rsidR="00123AE3" w:rsidRPr="001E57EA">
        <w:t>u prepoznavanja znakova nasilja.</w:t>
      </w:r>
      <w:r w:rsidRPr="001E57EA">
        <w:t xml:space="preserve"> </w:t>
      </w:r>
    </w:p>
    <w:p w:rsidR="00F6253F" w:rsidRPr="001E57EA" w:rsidRDefault="00F6253F" w:rsidP="00BF3ED5">
      <w:pPr>
        <w:pStyle w:val="TekstStrategija"/>
      </w:pPr>
      <w:r w:rsidRPr="001E57EA">
        <w:t xml:space="preserve">S obzirom </w:t>
      </w:r>
      <w:r w:rsidR="007B4EB1" w:rsidRPr="001E57EA">
        <w:t xml:space="preserve">na to </w:t>
      </w:r>
      <w:r w:rsidRPr="001E57EA">
        <w:t xml:space="preserve">da su neravnopravnost i ekonomska ovisnost prepoznati kao faktori rizika za nasilje u porodici, programi osnaživanja žena, podrške zapošljavanju i </w:t>
      </w:r>
      <w:r w:rsidRPr="001E57EA">
        <w:lastRenderedPageBreak/>
        <w:t xml:space="preserve">samozapošljavanju predstavljaju važan alat u prevenciji nasilja. </w:t>
      </w:r>
      <w:r w:rsidR="007B4EB1" w:rsidRPr="001E57EA">
        <w:t>U vezi s tim,</w:t>
      </w:r>
      <w:r w:rsidRPr="001E57EA">
        <w:t xml:space="preserve"> u okviru rada Federalnog zavoda za zapošljavanje</w:t>
      </w:r>
      <w:r w:rsidR="00A6750A" w:rsidRPr="001E57EA">
        <w:t>,</w:t>
      </w:r>
      <w:r w:rsidRPr="001E57EA">
        <w:t xml:space="preserve"> provode se programi sufinansiranja zapošljavanja i samozapošljavanja u svim mjerama aktivne politike</w:t>
      </w:r>
      <w:r w:rsidRPr="001E57EA">
        <w:rPr>
          <w:rStyle w:val="FootnoteReference"/>
        </w:rPr>
        <w:footnoteReference w:id="26"/>
      </w:r>
      <w:r w:rsidR="00A6750A" w:rsidRPr="001E57EA">
        <w:t>. N</w:t>
      </w:r>
      <w:r w:rsidRPr="001E57EA">
        <w:t xml:space="preserve">ačinom sufinansiranja zapošljavanja utvrđeno je uvećanje subvencija za 10% u slučaju da poslodavac zaposli nezaposlenu osobu iz kategorije žrtve nasilja u porodici. Istraživanjem kojim </w:t>
      </w:r>
      <w:r w:rsidR="00A6750A" w:rsidRPr="001E57EA">
        <w:t xml:space="preserve">su obuhvaćena </w:t>
      </w:r>
      <w:r w:rsidRPr="001E57EA">
        <w:t>1.033 poslodavca</w:t>
      </w:r>
      <w:r w:rsidR="00A6750A" w:rsidRPr="001E57EA">
        <w:t>,</w:t>
      </w:r>
      <w:r w:rsidRPr="001E57EA">
        <w:t xml:space="preserve"> utvrđena je potreba 64,85% poslodavaca za zapošljavanjem u 2020. godini, od čega se 40% odnosi na upražnjena radna mjesta, a 60% na nova radna mjesta. Spremnost poslodavaca da zaposle nezaposlenu osobu iz neke od teže zapošljivih ili specifičnih kategorija, odnosno zapošljavanje žena žrtava nasilja u porodici</w:t>
      </w:r>
      <w:r w:rsidR="00A6750A" w:rsidRPr="001E57EA">
        <w:t>,</w:t>
      </w:r>
      <w:r w:rsidRPr="001E57EA">
        <w:t xml:space="preserve"> iskazalo je 18,01% poslodavaca</w:t>
      </w:r>
      <w:r w:rsidRPr="001E57EA">
        <w:rPr>
          <w:rStyle w:val="FootnoteReference"/>
        </w:rPr>
        <w:footnoteReference w:id="27"/>
      </w:r>
      <w:r w:rsidRPr="001E57EA">
        <w:t>. Ovdje je vidljiv potencijal i prilika koja uz saradnju službi za zapošljavanje, centara za socijali rad i nevladinih organizacija može biti iskorištena za aktivni pristup ekonomskom jačanju žrtava nasilja u porodici.</w:t>
      </w:r>
    </w:p>
    <w:p w:rsidR="00BD18C6" w:rsidRPr="001E57EA" w:rsidRDefault="00F6253F" w:rsidP="00BF3ED5">
      <w:pPr>
        <w:pStyle w:val="TekstStrategija"/>
      </w:pPr>
      <w:r w:rsidRPr="001E57EA">
        <w:t xml:space="preserve">Također, u oblasti preventivnog djelovanja važna je i uloga pravosudnih organa. </w:t>
      </w:r>
      <w:r w:rsidR="00BD18C6" w:rsidRPr="001E57EA">
        <w:t xml:space="preserve">Adekvatnim kažnjavanjem za krivično djelo nasilja u porodici preventivno </w:t>
      </w:r>
      <w:r w:rsidR="00BF4F15" w:rsidRPr="001E57EA">
        <w:t>se</w:t>
      </w:r>
      <w:r w:rsidR="00BF4F15" w:rsidRPr="001E57EA" w:rsidDel="007B4EB1">
        <w:t xml:space="preserve"> </w:t>
      </w:r>
      <w:r w:rsidR="007B4EB1" w:rsidRPr="001E57EA">
        <w:t xml:space="preserve">utječe </w:t>
      </w:r>
      <w:r w:rsidR="00BD18C6" w:rsidRPr="001E57EA">
        <w:t>na pojedince da poštuju pravni poredak i ne čine krivična djela (generalna prevencija), utječe se na počinioca da ubuduće ne čini krivična djela i potiče se njegov preodgoj (kroz pojedinačnu prevenciju i rehabilitaciju), ali se kreira i društvena osuda za učinjeno djelo i postiže pravedno kažnjavanje počinioca krivičnog djela.</w:t>
      </w:r>
    </w:p>
    <w:p w:rsidR="00C81F9C" w:rsidRPr="001E57EA" w:rsidRDefault="00C81F9C" w:rsidP="00BF3ED5">
      <w:pPr>
        <w:pStyle w:val="TekstStrategija"/>
      </w:pPr>
      <w:r w:rsidRPr="001E57EA">
        <w:t xml:space="preserve">Pravovremen, ujednačen i </w:t>
      </w:r>
      <w:r w:rsidR="00E75CD5" w:rsidRPr="001E57EA">
        <w:t xml:space="preserve">adekvatan </w:t>
      </w:r>
      <w:r w:rsidRPr="001E57EA">
        <w:t xml:space="preserve">odgovor profesionalaca u slučajevima nasilja u porodici zahtijeva postojanje programa edukacije i provođenje obuka za osobe koje rade sa žrtvama i počiniocima nasilja u porodici. </w:t>
      </w:r>
      <w:r w:rsidR="007B4EB1" w:rsidRPr="001E57EA">
        <w:t>U vezi s tim,</w:t>
      </w:r>
      <w:r w:rsidRPr="001E57EA">
        <w:t xml:space="preserve"> razvijen je program za provođenje multisektorske edukacije, dokument koji daje uvid u osnovne obaveze svih segmenata prevencije i zaštite, program obuke i hodogram koji prikazuje tok djelovanja, odnose i obaveze pojedinih aktera. Ovaj </w:t>
      </w:r>
      <w:r w:rsidR="00091D73" w:rsidRPr="001E57EA">
        <w:t xml:space="preserve">program </w:t>
      </w:r>
      <w:r w:rsidRPr="001E57EA">
        <w:t xml:space="preserve">daje okvir za organizaciju strukturirane multisektorske edukacije od svih institucija i organizacija na svim nivoima djelovanja. </w:t>
      </w:r>
      <w:r w:rsidR="007B4EB1" w:rsidRPr="001E57EA">
        <w:t>U vezi s tim,</w:t>
      </w:r>
      <w:r w:rsidRPr="001E57EA">
        <w:t xml:space="preserve"> prema navedenom programu</w:t>
      </w:r>
      <w:r w:rsidR="00BF4F15" w:rsidRPr="001E57EA">
        <w:t>,</w:t>
      </w:r>
      <w:r w:rsidRPr="001E57EA">
        <w:t xml:space="preserve"> kontinuirano se </w:t>
      </w:r>
      <w:r w:rsidR="00BF4F15" w:rsidRPr="001E57EA">
        <w:t xml:space="preserve">realiziraju </w:t>
      </w:r>
      <w:r w:rsidRPr="001E57EA">
        <w:t>multisektorske edukacije.</w:t>
      </w:r>
    </w:p>
    <w:p w:rsidR="00B30CFA" w:rsidRPr="001E57EA" w:rsidRDefault="00F6253F" w:rsidP="00BF3ED5">
      <w:pPr>
        <w:pStyle w:val="TekstStrategija"/>
      </w:pPr>
      <w:r w:rsidRPr="001E57EA">
        <w:t>Osim navedenog, plan</w:t>
      </w:r>
      <w:r w:rsidR="00B30CFA" w:rsidRPr="001E57EA">
        <w:t xml:space="preserve">skim i kontinuiranim promotivnim kampanjama moguće je djelovati na promjenu društvene svijesti. </w:t>
      </w:r>
      <w:r w:rsidR="007B4EB1" w:rsidRPr="001E57EA">
        <w:t>U vezi s tim,</w:t>
      </w:r>
      <w:r w:rsidR="00B30CFA" w:rsidRPr="001E57EA">
        <w:t xml:space="preserve"> u okviru impleme</w:t>
      </w:r>
      <w:r w:rsidR="001870E7" w:rsidRPr="001E57EA">
        <w:t>n</w:t>
      </w:r>
      <w:r w:rsidR="00B30CFA" w:rsidRPr="001E57EA">
        <w:t xml:space="preserve">tacije strateških dokumenata, a posebno u okviru obilježavanja „16 dana aktivizma protiv nasilja nad ženama i nasilja u porodici“, </w:t>
      </w:r>
      <w:r w:rsidR="00BF4F15" w:rsidRPr="001E57EA">
        <w:t xml:space="preserve">institucije i nevladine organizacije </w:t>
      </w:r>
      <w:r w:rsidR="00B30CFA" w:rsidRPr="001E57EA">
        <w:t>provode</w:t>
      </w:r>
      <w:r w:rsidR="00BF4F15" w:rsidRPr="001E57EA">
        <w:t xml:space="preserve"> </w:t>
      </w:r>
      <w:r w:rsidR="00123AE3" w:rsidRPr="001E57EA">
        <w:t xml:space="preserve">kontinuirane </w:t>
      </w:r>
      <w:r w:rsidR="00B30CFA" w:rsidRPr="001E57EA">
        <w:t>promotivne kampanje.</w:t>
      </w:r>
      <w:r w:rsidRPr="001E57EA">
        <w:t xml:space="preserve"> S obzirom </w:t>
      </w:r>
      <w:r w:rsidR="00091D73" w:rsidRPr="001E57EA">
        <w:t xml:space="preserve">na to </w:t>
      </w:r>
      <w:r w:rsidRPr="001E57EA">
        <w:t>da je nasilje u porodici naučeni obrazac ponašanja</w:t>
      </w:r>
      <w:r w:rsidR="00091D73" w:rsidRPr="001E57EA">
        <w:t>,</w:t>
      </w:r>
      <w:r w:rsidRPr="001E57EA">
        <w:t xml:space="preserve"> mediji mogu imati značajan </w:t>
      </w:r>
      <w:r w:rsidR="00091D73" w:rsidRPr="001E57EA">
        <w:t xml:space="preserve">utjecaj </w:t>
      </w:r>
      <w:r w:rsidRPr="001E57EA">
        <w:t>na promjenu društvene svijesti i promjenu individualnih obrazaca ponašanja.</w:t>
      </w:r>
    </w:p>
    <w:p w:rsidR="00F6253F" w:rsidRPr="001E57EA" w:rsidRDefault="00C52381" w:rsidP="00BF3ED5">
      <w:pPr>
        <w:pStyle w:val="TekstStrategija"/>
      </w:pPr>
      <w:r w:rsidRPr="001E57EA">
        <w:t xml:space="preserve">Prevencija nasilja u porodici zahtijeva praćenje podataka i </w:t>
      </w:r>
      <w:r w:rsidR="00064FB0" w:rsidRPr="001E57EA">
        <w:t xml:space="preserve">stjecanje </w:t>
      </w:r>
      <w:r w:rsidRPr="001E57EA">
        <w:t xml:space="preserve">potrebnih empirijskih saznanja o nasilju u porodici. Periodičnim tematskim istraživanjima dobijaju se informacije koje </w:t>
      </w:r>
      <w:r w:rsidR="00BF4F15" w:rsidRPr="001E57EA">
        <w:t xml:space="preserve">omogućavaju </w:t>
      </w:r>
      <w:r w:rsidRPr="001E57EA">
        <w:t>sagledavanje stvarnog stanja i kreiranje budućih politika u ovoj oblasti.</w:t>
      </w:r>
      <w:r w:rsidR="004B6A4E" w:rsidRPr="001E57EA">
        <w:t xml:space="preserve"> U okviru postojećih transfera Federalnog ministarstva kulture i spo</w:t>
      </w:r>
      <w:r w:rsidR="00707FBB" w:rsidRPr="001E57EA">
        <w:t>r</w:t>
      </w:r>
      <w:r w:rsidR="004B6A4E" w:rsidRPr="001E57EA">
        <w:t>ta postoji mogućnost podrške projektima prevencije i borbe protiv nasilja u porodici.</w:t>
      </w:r>
    </w:p>
    <w:p w:rsidR="006B66F0" w:rsidRPr="001E57EA" w:rsidRDefault="006B66F0" w:rsidP="008066CA">
      <w:pPr>
        <w:pStyle w:val="3naslov"/>
        <w:rPr>
          <w:rFonts w:cs="Arial"/>
          <w:lang w:val="bs-Latn-BA"/>
        </w:rPr>
      </w:pPr>
      <w:bookmarkStart w:id="9" w:name="_Toc145323805"/>
      <w:r w:rsidRPr="001E57EA">
        <w:rPr>
          <w:rFonts w:cs="Arial"/>
          <w:lang w:val="bs-Latn-BA"/>
        </w:rPr>
        <w:lastRenderedPageBreak/>
        <w:t>Zaštita</w:t>
      </w:r>
      <w:r w:rsidR="00D44F1C" w:rsidRPr="001E57EA">
        <w:rPr>
          <w:rFonts w:cs="Arial"/>
          <w:lang w:val="bs-Latn-BA"/>
        </w:rPr>
        <w:t xml:space="preserve"> žrtava nasilja u porodici</w:t>
      </w:r>
      <w:bookmarkEnd w:id="9"/>
    </w:p>
    <w:p w:rsidR="000D7D46" w:rsidRPr="001E57EA" w:rsidRDefault="000D7D46" w:rsidP="00BF3ED5">
      <w:pPr>
        <w:pStyle w:val="TekstStrategija"/>
      </w:pPr>
      <w:r w:rsidRPr="001E57EA">
        <w:t xml:space="preserve">Zaštita </w:t>
      </w:r>
      <w:r w:rsidR="00013E15" w:rsidRPr="001E57EA">
        <w:t xml:space="preserve">žrtava nasilja u porodici obuhvata zaštitu kroz izricanje i provođenje zaštitnih mjera, socijalnu zaštitu, zdravstvenu zaštitu, psihološku podršku, smještaj u sigurnu kuću, </w:t>
      </w:r>
      <w:r w:rsidR="00A33AEE" w:rsidRPr="001E57EA">
        <w:t>osiguravanje</w:t>
      </w:r>
      <w:r w:rsidR="005B3D01" w:rsidRPr="001E57EA">
        <w:t xml:space="preserve"> </w:t>
      </w:r>
      <w:r w:rsidR="00013E15" w:rsidRPr="001E57EA">
        <w:t>privremenog smještaja, pravno savjetovanje, programe zapošljavanja, edukacije i doedukacije, materijalnu pomoć, ekonomsko osnaživanje i zapošljavanje i dr</w:t>
      </w:r>
      <w:r w:rsidRPr="001E57EA">
        <w:t>.</w:t>
      </w:r>
    </w:p>
    <w:p w:rsidR="005D2AE5" w:rsidRPr="001E57EA" w:rsidRDefault="005D2AE5" w:rsidP="008066CA">
      <w:pPr>
        <w:pStyle w:val="4naslov"/>
        <w:rPr>
          <w:rFonts w:cs="Arial"/>
        </w:rPr>
      </w:pPr>
      <w:bookmarkStart w:id="10" w:name="_Toc145323806"/>
      <w:r w:rsidRPr="001E57EA">
        <w:rPr>
          <w:rFonts w:cs="Arial"/>
        </w:rPr>
        <w:t>Zaštitne mjere</w:t>
      </w:r>
      <w:bookmarkEnd w:id="10"/>
    </w:p>
    <w:p w:rsidR="009B7E87" w:rsidRPr="001E57EA" w:rsidRDefault="009B7E87" w:rsidP="00BF3ED5">
      <w:pPr>
        <w:pStyle w:val="TekstStrategija"/>
      </w:pPr>
      <w:r w:rsidRPr="001E57EA">
        <w:t>Zakon o zaštiti od nasilja u porodici u Federaciji Bosne i Hercegovine, kao j</w:t>
      </w:r>
      <w:r w:rsidR="004C4A6C" w:rsidRPr="001E57EA">
        <w:t>edan od oblika zaštite žrtve nasilja u porodici</w:t>
      </w:r>
      <w:r w:rsidR="00C84773" w:rsidRPr="001E57EA">
        <w:t>,</w:t>
      </w:r>
      <w:r w:rsidR="004C4A6C" w:rsidRPr="001E57EA">
        <w:t xml:space="preserve"> </w:t>
      </w:r>
      <w:r w:rsidRPr="001E57EA">
        <w:t>propisuje</w:t>
      </w:r>
      <w:r w:rsidR="004C4A6C" w:rsidRPr="001E57EA">
        <w:t xml:space="preserve"> zaštitne mjere koje se izriču počiniocu nasilja u porodici i to: </w:t>
      </w:r>
    </w:p>
    <w:p w:rsidR="009B7E87" w:rsidRPr="001E57EA" w:rsidRDefault="006B66F0" w:rsidP="00BF3ED5">
      <w:pPr>
        <w:pStyle w:val="TekstStrategija"/>
        <w:numPr>
          <w:ilvl w:val="0"/>
          <w:numId w:val="15"/>
        </w:numPr>
      </w:pPr>
      <w:r w:rsidRPr="001E57EA">
        <w:t xml:space="preserve">udaljenje iz stana, kuće ili nekog drugog stambenog prostora i zabrana vraćanja u stan, kuću ili neki drugi stambeni prostor; </w:t>
      </w:r>
    </w:p>
    <w:p w:rsidR="009B7E87" w:rsidRPr="001E57EA" w:rsidRDefault="006B66F0" w:rsidP="00BF3ED5">
      <w:pPr>
        <w:pStyle w:val="TekstStrategija"/>
        <w:numPr>
          <w:ilvl w:val="0"/>
          <w:numId w:val="15"/>
        </w:numPr>
      </w:pPr>
      <w:r w:rsidRPr="001E57EA">
        <w:t xml:space="preserve">zabrana približavanja žrtvi nasilja; </w:t>
      </w:r>
    </w:p>
    <w:p w:rsidR="009B7E87" w:rsidRPr="001E57EA" w:rsidRDefault="006B66F0" w:rsidP="00BF3ED5">
      <w:pPr>
        <w:pStyle w:val="TekstStrategija"/>
        <w:numPr>
          <w:ilvl w:val="0"/>
          <w:numId w:val="15"/>
        </w:numPr>
      </w:pPr>
      <w:r w:rsidRPr="001E57EA">
        <w:t xml:space="preserve">zabrana uznemiravanja i uhođenja osobe izložene nasilju; </w:t>
      </w:r>
    </w:p>
    <w:p w:rsidR="009B7E87" w:rsidRPr="001E57EA" w:rsidRDefault="006B66F0" w:rsidP="00BF3ED5">
      <w:pPr>
        <w:pStyle w:val="TekstStrategija"/>
        <w:numPr>
          <w:ilvl w:val="0"/>
          <w:numId w:val="15"/>
        </w:numPr>
      </w:pPr>
      <w:r w:rsidRPr="001E57EA">
        <w:t xml:space="preserve">obavezan psihosocijalni tretman; </w:t>
      </w:r>
    </w:p>
    <w:p w:rsidR="009B7E87" w:rsidRPr="001E57EA" w:rsidRDefault="006B66F0" w:rsidP="00BF3ED5">
      <w:pPr>
        <w:pStyle w:val="TekstStrategija"/>
        <w:numPr>
          <w:ilvl w:val="0"/>
          <w:numId w:val="15"/>
        </w:numPr>
      </w:pPr>
      <w:r w:rsidRPr="001E57EA">
        <w:t xml:space="preserve">obavezno liječenje od ovisnosti i </w:t>
      </w:r>
    </w:p>
    <w:p w:rsidR="009B7E87" w:rsidRPr="001E57EA" w:rsidRDefault="006B66F0" w:rsidP="00BF3ED5">
      <w:pPr>
        <w:pStyle w:val="TekstStrategija"/>
        <w:numPr>
          <w:ilvl w:val="0"/>
          <w:numId w:val="15"/>
        </w:numPr>
      </w:pPr>
      <w:r w:rsidRPr="001E57EA">
        <w:t>privremen</w:t>
      </w:r>
      <w:r w:rsidR="009B7E87" w:rsidRPr="001E57EA">
        <w:t>o lišenje slobode i zadržavanje</w:t>
      </w:r>
      <w:r w:rsidRPr="001E57EA">
        <w:t>.</w:t>
      </w:r>
      <w:r w:rsidR="00921AC6" w:rsidRPr="001E57EA">
        <w:t xml:space="preserve"> </w:t>
      </w:r>
    </w:p>
    <w:p w:rsidR="00987169" w:rsidRPr="001E57EA" w:rsidRDefault="00987169" w:rsidP="00987169">
      <w:pPr>
        <w:pStyle w:val="TekstStrategija"/>
        <w:ind w:left="720"/>
      </w:pPr>
    </w:p>
    <w:p w:rsidR="006B66F0" w:rsidRPr="001E57EA" w:rsidRDefault="006B66F0" w:rsidP="00BF3ED5">
      <w:pPr>
        <w:pStyle w:val="TekstStrategija"/>
      </w:pPr>
      <w:r w:rsidRPr="001E57EA">
        <w:t>Zaštitna mjera obaveznog psihosocijalnog tretmana provodi se u centrima za mentalno zdravlje,</w:t>
      </w:r>
      <w:r w:rsidR="009B7E87" w:rsidRPr="001E57EA">
        <w:rPr>
          <w:vertAlign w:val="superscript"/>
        </w:rPr>
        <w:footnoteReference w:id="28"/>
      </w:r>
      <w:r w:rsidRPr="001E57EA">
        <w:t xml:space="preserve"> mjer</w:t>
      </w:r>
      <w:r w:rsidR="00091D73" w:rsidRPr="001E57EA">
        <w:t>u</w:t>
      </w:r>
      <w:r w:rsidRPr="001E57EA">
        <w:t xml:space="preserve"> obaveznog liječenja od ovisnosti </w:t>
      </w:r>
      <w:r w:rsidR="00091D73" w:rsidRPr="001E57EA">
        <w:t>provodi</w:t>
      </w:r>
      <w:r w:rsidRPr="001E57EA">
        <w:t xml:space="preserve"> </w:t>
      </w:r>
      <w:r w:rsidR="00C84773" w:rsidRPr="001E57EA">
        <w:t>Z</w:t>
      </w:r>
      <w:r w:rsidRPr="001E57EA">
        <w:t>avod za liječenje bolesti ovisnosti,</w:t>
      </w:r>
      <w:r w:rsidR="009B7E87" w:rsidRPr="001E57EA">
        <w:rPr>
          <w:vertAlign w:val="superscript"/>
        </w:rPr>
        <w:footnoteReference w:id="29"/>
      </w:r>
      <w:r w:rsidRPr="001E57EA">
        <w:t xml:space="preserve"> dok ostale četiri mjere</w:t>
      </w:r>
      <w:r w:rsidRPr="001E57EA">
        <w:rPr>
          <w:rStyle w:val="FootnoteReference"/>
        </w:rPr>
        <w:footnoteReference w:id="30"/>
      </w:r>
      <w:r w:rsidRPr="001E57EA">
        <w:t xml:space="preserve"> provod</w:t>
      </w:r>
      <w:r w:rsidR="00091D73" w:rsidRPr="001E57EA">
        <w:t>i</w:t>
      </w:r>
      <w:r w:rsidRPr="001E57EA">
        <w:t xml:space="preserve"> policij</w:t>
      </w:r>
      <w:r w:rsidR="00091D73" w:rsidRPr="001E57EA">
        <w:t>a</w:t>
      </w:r>
      <w:r w:rsidRPr="001E57EA">
        <w:t>.</w:t>
      </w:r>
      <w:r w:rsidR="009B7E87" w:rsidRPr="001E57EA">
        <w:rPr>
          <w:vertAlign w:val="superscript"/>
        </w:rPr>
        <w:footnoteReference w:id="31"/>
      </w:r>
      <w:r w:rsidRPr="001E57EA">
        <w:t xml:space="preserve"> Praćenje provedbe svih zaštitnih mjera u obavezi je centara za socijalni rad.</w:t>
      </w:r>
      <w:r w:rsidR="009B7E87" w:rsidRPr="001E57EA">
        <w:rPr>
          <w:vertAlign w:val="superscript"/>
        </w:rPr>
        <w:footnoteReference w:id="32"/>
      </w:r>
      <w:r w:rsidRPr="001E57EA">
        <w:t xml:space="preserve"> </w:t>
      </w:r>
    </w:p>
    <w:p w:rsidR="006B66F0" w:rsidRPr="001E57EA" w:rsidRDefault="006B66F0" w:rsidP="006B66F0">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1</w:t>
      </w:r>
      <w:r w:rsidRPr="001E57EA">
        <w:fldChar w:fldCharType="end"/>
      </w:r>
      <w:r w:rsidRPr="001E57EA">
        <w:t>: Podaci o zaštitnim mjerama prema Zakonu o zaštiti od nasilja u porodici*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23"/>
        <w:gridCol w:w="512"/>
        <w:gridCol w:w="512"/>
        <w:gridCol w:w="424"/>
        <w:gridCol w:w="424"/>
        <w:gridCol w:w="337"/>
        <w:gridCol w:w="792"/>
        <w:gridCol w:w="543"/>
        <w:gridCol w:w="671"/>
        <w:gridCol w:w="846"/>
        <w:gridCol w:w="792"/>
        <w:gridCol w:w="543"/>
        <w:gridCol w:w="671"/>
        <w:gridCol w:w="842"/>
      </w:tblGrid>
      <w:tr w:rsidR="001E57EA" w:rsidRPr="00F35483" w:rsidTr="00542B66">
        <w:tc>
          <w:tcPr>
            <w:tcW w:w="380" w:type="pct"/>
            <w:shd w:val="clear" w:color="auto" w:fill="auto"/>
          </w:tcPr>
          <w:p w:rsidR="00542B66" w:rsidRPr="001E57EA" w:rsidRDefault="00542B66" w:rsidP="00432FB6">
            <w:pPr>
              <w:spacing w:after="0"/>
              <w:rPr>
                <w:rFonts w:ascii="Arial" w:hAnsi="Arial"/>
                <w:sz w:val="12"/>
                <w:szCs w:val="12"/>
                <w:lang w:val="bs-Latn-BA"/>
              </w:rPr>
            </w:pPr>
            <w:r w:rsidRPr="001E57EA">
              <w:rPr>
                <w:rFonts w:ascii="Arial" w:hAnsi="Arial"/>
                <w:sz w:val="12"/>
                <w:szCs w:val="12"/>
                <w:lang w:val="bs-Latn-BA"/>
              </w:rPr>
              <w:t>Godina</w:t>
            </w:r>
          </w:p>
        </w:tc>
        <w:tc>
          <w:tcPr>
            <w:tcW w:w="1458" w:type="pct"/>
            <w:gridSpan w:val="6"/>
            <w:shd w:val="clear" w:color="auto" w:fill="auto"/>
          </w:tcPr>
          <w:p w:rsidR="00542B66" w:rsidRPr="001E57EA" w:rsidRDefault="00542B66" w:rsidP="00432FB6">
            <w:pPr>
              <w:spacing w:after="0"/>
              <w:rPr>
                <w:rFonts w:ascii="Arial" w:hAnsi="Arial"/>
                <w:sz w:val="12"/>
                <w:szCs w:val="12"/>
                <w:lang w:val="bs-Latn-BA"/>
              </w:rPr>
            </w:pPr>
            <w:r w:rsidRPr="001E57EA">
              <w:rPr>
                <w:rFonts w:ascii="Arial" w:hAnsi="Arial"/>
                <w:sz w:val="12"/>
                <w:szCs w:val="12"/>
                <w:lang w:val="bs-Latn-BA"/>
              </w:rPr>
              <w:t>Broj izrečenih zaštitnih mjera</w:t>
            </w:r>
          </w:p>
        </w:tc>
        <w:tc>
          <w:tcPr>
            <w:tcW w:w="1581" w:type="pct"/>
            <w:gridSpan w:val="4"/>
            <w:shd w:val="clear" w:color="auto" w:fill="auto"/>
          </w:tcPr>
          <w:p w:rsidR="00542B66" w:rsidRPr="001E57EA" w:rsidRDefault="00542B66" w:rsidP="00432FB6">
            <w:pPr>
              <w:spacing w:after="0"/>
              <w:rPr>
                <w:rFonts w:ascii="Arial" w:hAnsi="Arial"/>
                <w:sz w:val="12"/>
                <w:szCs w:val="12"/>
                <w:lang w:val="bs-Latn-BA"/>
              </w:rPr>
            </w:pPr>
            <w:r w:rsidRPr="001E57EA">
              <w:rPr>
                <w:rFonts w:ascii="Arial" w:hAnsi="Arial"/>
                <w:sz w:val="12"/>
                <w:szCs w:val="12"/>
                <w:lang w:val="bs-Latn-BA"/>
              </w:rPr>
              <w:t>Osobe kojima se izriču zaštitne mjere</w:t>
            </w:r>
          </w:p>
        </w:tc>
        <w:tc>
          <w:tcPr>
            <w:tcW w:w="1581" w:type="pct"/>
            <w:gridSpan w:val="4"/>
            <w:shd w:val="clear" w:color="auto" w:fill="auto"/>
          </w:tcPr>
          <w:p w:rsidR="00542B66" w:rsidRPr="001E57EA" w:rsidRDefault="00542B66" w:rsidP="00432FB6">
            <w:pPr>
              <w:spacing w:after="0"/>
              <w:rPr>
                <w:rFonts w:ascii="Arial" w:hAnsi="Arial"/>
                <w:sz w:val="12"/>
                <w:szCs w:val="12"/>
                <w:lang w:val="bs-Latn-BA"/>
              </w:rPr>
            </w:pPr>
            <w:r w:rsidRPr="001E57EA">
              <w:rPr>
                <w:rFonts w:ascii="Arial" w:hAnsi="Arial"/>
                <w:sz w:val="12"/>
                <w:szCs w:val="12"/>
                <w:lang w:val="bs-Latn-BA"/>
              </w:rPr>
              <w:t>Osobe koje se štite zaštitnim mjerama</w:t>
            </w:r>
          </w:p>
        </w:tc>
      </w:tr>
      <w:tr w:rsidR="001E57EA" w:rsidRPr="001E57EA" w:rsidTr="00542B66">
        <w:tc>
          <w:tcPr>
            <w:tcW w:w="380" w:type="pct"/>
            <w:vMerge w:val="restar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2018.</w:t>
            </w:r>
          </w:p>
        </w:tc>
        <w:tc>
          <w:tcPr>
            <w:tcW w:w="235"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a*</w:t>
            </w:r>
          </w:p>
        </w:tc>
        <w:tc>
          <w:tcPr>
            <w:tcW w:w="284"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b*</w:t>
            </w:r>
          </w:p>
        </w:tc>
        <w:tc>
          <w:tcPr>
            <w:tcW w:w="284"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c*</w:t>
            </w:r>
          </w:p>
        </w:tc>
        <w:tc>
          <w:tcPr>
            <w:tcW w:w="235"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d*</w:t>
            </w:r>
          </w:p>
        </w:tc>
        <w:tc>
          <w:tcPr>
            <w:tcW w:w="235"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e*</w:t>
            </w:r>
          </w:p>
        </w:tc>
        <w:tc>
          <w:tcPr>
            <w:tcW w:w="187"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f*</w:t>
            </w:r>
          </w:p>
        </w:tc>
        <w:tc>
          <w:tcPr>
            <w:tcW w:w="439"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muškarci</w:t>
            </w:r>
          </w:p>
        </w:tc>
        <w:tc>
          <w:tcPr>
            <w:tcW w:w="301"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žene</w:t>
            </w:r>
          </w:p>
        </w:tc>
        <w:tc>
          <w:tcPr>
            <w:tcW w:w="372"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dječaci</w:t>
            </w:r>
          </w:p>
        </w:tc>
        <w:tc>
          <w:tcPr>
            <w:tcW w:w="468"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djevojčice</w:t>
            </w:r>
          </w:p>
        </w:tc>
        <w:tc>
          <w:tcPr>
            <w:tcW w:w="439"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muškarci</w:t>
            </w:r>
          </w:p>
        </w:tc>
        <w:tc>
          <w:tcPr>
            <w:tcW w:w="301"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žene</w:t>
            </w:r>
          </w:p>
        </w:tc>
        <w:tc>
          <w:tcPr>
            <w:tcW w:w="372"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dječaci</w:t>
            </w:r>
          </w:p>
        </w:tc>
        <w:tc>
          <w:tcPr>
            <w:tcW w:w="468" w:type="pct"/>
            <w:shd w:val="clear" w:color="auto" w:fill="auto"/>
            <w:vAlign w:val="center"/>
          </w:tcPr>
          <w:p w:rsidR="00542B66" w:rsidRPr="001E57EA" w:rsidRDefault="00542B66" w:rsidP="00432FB6">
            <w:pPr>
              <w:spacing w:after="0"/>
              <w:jc w:val="center"/>
              <w:rPr>
                <w:rFonts w:ascii="Arial" w:hAnsi="Arial"/>
                <w:sz w:val="12"/>
                <w:szCs w:val="12"/>
                <w:lang w:val="bs-Latn-BA"/>
              </w:rPr>
            </w:pPr>
            <w:r w:rsidRPr="001E57EA">
              <w:rPr>
                <w:rFonts w:ascii="Arial" w:hAnsi="Arial"/>
                <w:sz w:val="12"/>
                <w:szCs w:val="12"/>
                <w:lang w:val="bs-Latn-BA"/>
              </w:rPr>
              <w:t>djevojčice</w:t>
            </w:r>
          </w:p>
        </w:tc>
      </w:tr>
      <w:tr w:rsidR="001E57EA" w:rsidRPr="001E57EA" w:rsidTr="00542B66">
        <w:tc>
          <w:tcPr>
            <w:tcW w:w="380" w:type="pct"/>
            <w:vMerge/>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235"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37</w:t>
            </w:r>
          </w:p>
        </w:tc>
        <w:tc>
          <w:tcPr>
            <w:tcW w:w="284"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151</w:t>
            </w:r>
          </w:p>
        </w:tc>
        <w:tc>
          <w:tcPr>
            <w:tcW w:w="284"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197</w:t>
            </w:r>
          </w:p>
        </w:tc>
        <w:tc>
          <w:tcPr>
            <w:tcW w:w="235"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62</w:t>
            </w:r>
          </w:p>
        </w:tc>
        <w:tc>
          <w:tcPr>
            <w:tcW w:w="235"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31</w:t>
            </w:r>
          </w:p>
        </w:tc>
        <w:tc>
          <w:tcPr>
            <w:tcW w:w="187"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w:t>
            </w:r>
          </w:p>
        </w:tc>
        <w:tc>
          <w:tcPr>
            <w:tcW w:w="439"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304</w:t>
            </w:r>
          </w:p>
        </w:tc>
        <w:tc>
          <w:tcPr>
            <w:tcW w:w="301"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19</w:t>
            </w:r>
          </w:p>
        </w:tc>
        <w:tc>
          <w:tcPr>
            <w:tcW w:w="372" w:type="pct"/>
            <w:shd w:val="clear" w:color="auto" w:fill="auto"/>
            <w:vAlign w:val="center"/>
          </w:tcPr>
          <w:p w:rsidR="00542B66" w:rsidRPr="001E57EA" w:rsidRDefault="00542B66" w:rsidP="00432FB6">
            <w:pPr>
              <w:spacing w:after="0"/>
              <w:jc w:val="center"/>
              <w:rPr>
                <w:rFonts w:ascii="Arial" w:hAnsi="Arial"/>
                <w:sz w:val="14"/>
                <w:szCs w:val="14"/>
              </w:rPr>
            </w:pPr>
          </w:p>
        </w:tc>
        <w:tc>
          <w:tcPr>
            <w:tcW w:w="468" w:type="pct"/>
            <w:shd w:val="clear" w:color="auto" w:fill="auto"/>
            <w:vAlign w:val="center"/>
          </w:tcPr>
          <w:p w:rsidR="00542B66" w:rsidRPr="001E57EA" w:rsidRDefault="00542B66" w:rsidP="00432FB6">
            <w:pPr>
              <w:spacing w:after="0"/>
              <w:jc w:val="center"/>
              <w:rPr>
                <w:rFonts w:ascii="Arial" w:hAnsi="Arial"/>
                <w:sz w:val="14"/>
                <w:szCs w:val="14"/>
              </w:rPr>
            </w:pPr>
          </w:p>
        </w:tc>
        <w:tc>
          <w:tcPr>
            <w:tcW w:w="439"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52</w:t>
            </w:r>
          </w:p>
        </w:tc>
        <w:tc>
          <w:tcPr>
            <w:tcW w:w="301"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304</w:t>
            </w:r>
          </w:p>
        </w:tc>
        <w:tc>
          <w:tcPr>
            <w:tcW w:w="372"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30</w:t>
            </w:r>
          </w:p>
        </w:tc>
        <w:tc>
          <w:tcPr>
            <w:tcW w:w="468"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32</w:t>
            </w:r>
          </w:p>
        </w:tc>
      </w:tr>
      <w:tr w:rsidR="001E57EA" w:rsidRPr="001E57EA" w:rsidTr="00542B66">
        <w:tc>
          <w:tcPr>
            <w:tcW w:w="380" w:type="pct"/>
            <w:vMerge/>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1458" w:type="pct"/>
            <w:gridSpan w:val="6"/>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480</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323</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418</w:t>
            </w:r>
          </w:p>
        </w:tc>
      </w:tr>
      <w:tr w:rsidR="001E57EA" w:rsidRPr="001E57EA" w:rsidTr="00542B66">
        <w:tc>
          <w:tcPr>
            <w:tcW w:w="380" w:type="pct"/>
            <w:vMerge w:val="restar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2019.</w:t>
            </w:r>
          </w:p>
        </w:tc>
        <w:tc>
          <w:tcPr>
            <w:tcW w:w="235"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15</w:t>
            </w:r>
          </w:p>
        </w:tc>
        <w:tc>
          <w:tcPr>
            <w:tcW w:w="284"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216</w:t>
            </w:r>
          </w:p>
        </w:tc>
        <w:tc>
          <w:tcPr>
            <w:tcW w:w="284"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209</w:t>
            </w:r>
          </w:p>
        </w:tc>
        <w:tc>
          <w:tcPr>
            <w:tcW w:w="235"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60</w:t>
            </w:r>
          </w:p>
        </w:tc>
        <w:tc>
          <w:tcPr>
            <w:tcW w:w="235"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18</w:t>
            </w:r>
          </w:p>
        </w:tc>
        <w:tc>
          <w:tcPr>
            <w:tcW w:w="187" w:type="pct"/>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439"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299</w:t>
            </w:r>
          </w:p>
        </w:tc>
        <w:tc>
          <w:tcPr>
            <w:tcW w:w="301"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20</w:t>
            </w:r>
          </w:p>
        </w:tc>
        <w:tc>
          <w:tcPr>
            <w:tcW w:w="372"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1</w:t>
            </w:r>
          </w:p>
        </w:tc>
        <w:tc>
          <w:tcPr>
            <w:tcW w:w="468"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0</w:t>
            </w:r>
          </w:p>
        </w:tc>
        <w:tc>
          <w:tcPr>
            <w:tcW w:w="439"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29</w:t>
            </w:r>
          </w:p>
        </w:tc>
        <w:tc>
          <w:tcPr>
            <w:tcW w:w="301"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116</w:t>
            </w:r>
          </w:p>
        </w:tc>
        <w:tc>
          <w:tcPr>
            <w:tcW w:w="372"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w:t>
            </w:r>
          </w:p>
        </w:tc>
        <w:tc>
          <w:tcPr>
            <w:tcW w:w="468"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6</w:t>
            </w:r>
          </w:p>
        </w:tc>
      </w:tr>
      <w:tr w:rsidR="001E57EA" w:rsidRPr="001E57EA" w:rsidTr="00542B66">
        <w:tc>
          <w:tcPr>
            <w:tcW w:w="380" w:type="pct"/>
            <w:vMerge/>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1458" w:type="pct"/>
            <w:gridSpan w:val="6"/>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518</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320</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153</w:t>
            </w:r>
          </w:p>
        </w:tc>
      </w:tr>
      <w:tr w:rsidR="001E57EA" w:rsidRPr="001E57EA" w:rsidTr="00542B66">
        <w:trPr>
          <w:trHeight w:val="37"/>
        </w:trPr>
        <w:tc>
          <w:tcPr>
            <w:tcW w:w="380" w:type="pct"/>
            <w:vMerge w:val="restar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2020.</w:t>
            </w:r>
          </w:p>
        </w:tc>
        <w:tc>
          <w:tcPr>
            <w:tcW w:w="235"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19</w:t>
            </w:r>
          </w:p>
        </w:tc>
        <w:tc>
          <w:tcPr>
            <w:tcW w:w="284"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201</w:t>
            </w:r>
          </w:p>
        </w:tc>
        <w:tc>
          <w:tcPr>
            <w:tcW w:w="284"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39</w:t>
            </w:r>
          </w:p>
        </w:tc>
        <w:tc>
          <w:tcPr>
            <w:tcW w:w="235"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7</w:t>
            </w:r>
          </w:p>
        </w:tc>
        <w:tc>
          <w:tcPr>
            <w:tcW w:w="235"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29</w:t>
            </w:r>
          </w:p>
        </w:tc>
        <w:tc>
          <w:tcPr>
            <w:tcW w:w="187" w:type="pct"/>
            <w:shd w:val="clear" w:color="auto" w:fill="auto"/>
            <w:vAlign w:val="center"/>
          </w:tcPr>
          <w:p w:rsidR="00542B66" w:rsidRPr="001E57EA" w:rsidRDefault="00542B66" w:rsidP="00432FB6">
            <w:pPr>
              <w:spacing w:after="0"/>
              <w:jc w:val="center"/>
              <w:rPr>
                <w:rFonts w:ascii="Arial" w:hAnsi="Arial"/>
                <w:sz w:val="14"/>
                <w:szCs w:val="14"/>
              </w:rPr>
            </w:pPr>
          </w:p>
        </w:tc>
        <w:tc>
          <w:tcPr>
            <w:tcW w:w="439"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324</w:t>
            </w:r>
          </w:p>
        </w:tc>
        <w:tc>
          <w:tcPr>
            <w:tcW w:w="301"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17</w:t>
            </w:r>
          </w:p>
        </w:tc>
        <w:tc>
          <w:tcPr>
            <w:tcW w:w="372" w:type="pct"/>
            <w:shd w:val="clear" w:color="auto" w:fill="auto"/>
            <w:vAlign w:val="center"/>
          </w:tcPr>
          <w:p w:rsidR="00542B66" w:rsidRPr="001E57EA" w:rsidRDefault="00542B66" w:rsidP="00432FB6">
            <w:pPr>
              <w:spacing w:after="0"/>
              <w:jc w:val="center"/>
              <w:rPr>
                <w:rFonts w:ascii="Arial" w:hAnsi="Arial"/>
                <w:sz w:val="14"/>
                <w:szCs w:val="14"/>
              </w:rPr>
            </w:pPr>
          </w:p>
        </w:tc>
        <w:tc>
          <w:tcPr>
            <w:tcW w:w="468" w:type="pct"/>
            <w:shd w:val="clear" w:color="auto" w:fill="auto"/>
            <w:vAlign w:val="center"/>
          </w:tcPr>
          <w:p w:rsidR="00542B66" w:rsidRPr="001E57EA" w:rsidRDefault="00542B66" w:rsidP="00432FB6">
            <w:pPr>
              <w:spacing w:after="0"/>
              <w:jc w:val="center"/>
              <w:rPr>
                <w:rFonts w:ascii="Arial" w:hAnsi="Arial"/>
                <w:sz w:val="14"/>
                <w:szCs w:val="14"/>
              </w:rPr>
            </w:pPr>
          </w:p>
        </w:tc>
        <w:tc>
          <w:tcPr>
            <w:tcW w:w="439"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26</w:t>
            </w:r>
          </w:p>
        </w:tc>
        <w:tc>
          <w:tcPr>
            <w:tcW w:w="301"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113</w:t>
            </w:r>
          </w:p>
        </w:tc>
        <w:tc>
          <w:tcPr>
            <w:tcW w:w="372"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4</w:t>
            </w:r>
          </w:p>
        </w:tc>
        <w:tc>
          <w:tcPr>
            <w:tcW w:w="468"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5</w:t>
            </w:r>
          </w:p>
        </w:tc>
      </w:tr>
      <w:tr w:rsidR="001E57EA" w:rsidRPr="001E57EA" w:rsidTr="00542B66">
        <w:trPr>
          <w:trHeight w:val="37"/>
        </w:trPr>
        <w:tc>
          <w:tcPr>
            <w:tcW w:w="380" w:type="pct"/>
            <w:vMerge/>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1458" w:type="pct"/>
            <w:gridSpan w:val="6"/>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rPr>
              <w:t>545</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rPr>
              <w:t>341</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rPr>
              <w:t>148</w:t>
            </w:r>
          </w:p>
        </w:tc>
      </w:tr>
      <w:tr w:rsidR="001E57EA" w:rsidRPr="001E57EA" w:rsidTr="00542B66">
        <w:trPr>
          <w:trHeight w:val="37"/>
        </w:trPr>
        <w:tc>
          <w:tcPr>
            <w:tcW w:w="380" w:type="pct"/>
            <w:vMerge w:val="restar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2021.</w:t>
            </w:r>
          </w:p>
        </w:tc>
        <w:tc>
          <w:tcPr>
            <w:tcW w:w="235"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23</w:t>
            </w:r>
          </w:p>
        </w:tc>
        <w:tc>
          <w:tcPr>
            <w:tcW w:w="284"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278</w:t>
            </w:r>
          </w:p>
        </w:tc>
        <w:tc>
          <w:tcPr>
            <w:tcW w:w="284"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278</w:t>
            </w:r>
          </w:p>
        </w:tc>
        <w:tc>
          <w:tcPr>
            <w:tcW w:w="235"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60</w:t>
            </w:r>
          </w:p>
        </w:tc>
        <w:tc>
          <w:tcPr>
            <w:tcW w:w="235"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53</w:t>
            </w:r>
          </w:p>
        </w:tc>
        <w:tc>
          <w:tcPr>
            <w:tcW w:w="187" w:type="pct"/>
            <w:shd w:val="clear" w:color="auto" w:fill="auto"/>
          </w:tcPr>
          <w:p w:rsidR="00542B66" w:rsidRPr="001E57EA" w:rsidRDefault="00542B66" w:rsidP="00432FB6">
            <w:pPr>
              <w:pStyle w:val="Default"/>
              <w:jc w:val="center"/>
              <w:rPr>
                <w:rFonts w:ascii="Arial" w:hAnsi="Arial" w:cs="Arial"/>
                <w:color w:val="auto"/>
                <w:sz w:val="14"/>
                <w:szCs w:val="14"/>
              </w:rPr>
            </w:pPr>
          </w:p>
        </w:tc>
        <w:tc>
          <w:tcPr>
            <w:tcW w:w="439"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517</w:t>
            </w:r>
          </w:p>
        </w:tc>
        <w:tc>
          <w:tcPr>
            <w:tcW w:w="301" w:type="pc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25</w:t>
            </w:r>
          </w:p>
        </w:tc>
        <w:tc>
          <w:tcPr>
            <w:tcW w:w="372" w:type="pct"/>
            <w:shd w:val="clear" w:color="auto" w:fill="auto"/>
            <w:vAlign w:val="center"/>
          </w:tcPr>
          <w:p w:rsidR="00542B66" w:rsidRPr="001E57EA" w:rsidRDefault="00542B66" w:rsidP="00432FB6">
            <w:pPr>
              <w:spacing w:after="0"/>
              <w:jc w:val="center"/>
              <w:rPr>
                <w:rFonts w:ascii="Arial" w:hAnsi="Arial"/>
                <w:sz w:val="14"/>
                <w:szCs w:val="14"/>
              </w:rPr>
            </w:pPr>
          </w:p>
        </w:tc>
        <w:tc>
          <w:tcPr>
            <w:tcW w:w="468" w:type="pct"/>
            <w:shd w:val="clear" w:color="auto" w:fill="auto"/>
            <w:vAlign w:val="center"/>
          </w:tcPr>
          <w:p w:rsidR="00542B66" w:rsidRPr="001E57EA" w:rsidRDefault="00542B66" w:rsidP="00432FB6">
            <w:pPr>
              <w:spacing w:after="0"/>
              <w:jc w:val="center"/>
              <w:rPr>
                <w:rFonts w:ascii="Arial" w:hAnsi="Arial"/>
                <w:sz w:val="14"/>
                <w:szCs w:val="14"/>
              </w:rPr>
            </w:pPr>
          </w:p>
        </w:tc>
        <w:tc>
          <w:tcPr>
            <w:tcW w:w="439"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41</w:t>
            </w:r>
          </w:p>
        </w:tc>
        <w:tc>
          <w:tcPr>
            <w:tcW w:w="301"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254</w:t>
            </w:r>
          </w:p>
        </w:tc>
        <w:tc>
          <w:tcPr>
            <w:tcW w:w="372"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15</w:t>
            </w:r>
          </w:p>
        </w:tc>
        <w:tc>
          <w:tcPr>
            <w:tcW w:w="468" w:type="pct"/>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20</w:t>
            </w:r>
          </w:p>
        </w:tc>
      </w:tr>
      <w:tr w:rsidR="001E57EA" w:rsidRPr="001E57EA" w:rsidTr="00542B66">
        <w:trPr>
          <w:trHeight w:val="37"/>
        </w:trPr>
        <w:tc>
          <w:tcPr>
            <w:tcW w:w="380" w:type="pct"/>
            <w:vMerge/>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1458" w:type="pct"/>
            <w:gridSpan w:val="6"/>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692</w:t>
            </w:r>
          </w:p>
        </w:tc>
        <w:tc>
          <w:tcPr>
            <w:tcW w:w="1581" w:type="pct"/>
            <w:gridSpan w:val="4"/>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552</w:t>
            </w:r>
          </w:p>
        </w:tc>
        <w:tc>
          <w:tcPr>
            <w:tcW w:w="1581" w:type="pct"/>
            <w:gridSpan w:val="4"/>
            <w:shd w:val="clear" w:color="auto" w:fill="auto"/>
          </w:tcPr>
          <w:p w:rsidR="00542B66" w:rsidRPr="001E57EA" w:rsidRDefault="00542B66" w:rsidP="00432FB6">
            <w:pPr>
              <w:pStyle w:val="Default"/>
              <w:jc w:val="center"/>
              <w:rPr>
                <w:rFonts w:ascii="Arial" w:hAnsi="Arial" w:cs="Arial"/>
                <w:color w:val="auto"/>
                <w:sz w:val="14"/>
                <w:szCs w:val="14"/>
              </w:rPr>
            </w:pPr>
            <w:r w:rsidRPr="001E57EA">
              <w:rPr>
                <w:rFonts w:ascii="Arial" w:hAnsi="Arial" w:cs="Arial"/>
                <w:color w:val="auto"/>
                <w:sz w:val="14"/>
                <w:szCs w:val="14"/>
              </w:rPr>
              <w:t>330</w:t>
            </w:r>
          </w:p>
        </w:tc>
      </w:tr>
      <w:tr w:rsidR="001E57EA" w:rsidRPr="001E57EA" w:rsidTr="00542B66">
        <w:trPr>
          <w:trHeight w:val="37"/>
        </w:trPr>
        <w:tc>
          <w:tcPr>
            <w:tcW w:w="380" w:type="pct"/>
            <w:vMerge w:val="restart"/>
            <w:shd w:val="clear" w:color="auto" w:fill="auto"/>
            <w:vAlign w:val="center"/>
          </w:tcPr>
          <w:p w:rsidR="00542B66" w:rsidRPr="001E57EA" w:rsidRDefault="00542B66" w:rsidP="00432FB6">
            <w:pPr>
              <w:spacing w:after="0"/>
              <w:jc w:val="center"/>
              <w:rPr>
                <w:rFonts w:ascii="Arial" w:hAnsi="Arial"/>
                <w:sz w:val="14"/>
                <w:szCs w:val="14"/>
              </w:rPr>
            </w:pPr>
            <w:r w:rsidRPr="001E57EA">
              <w:rPr>
                <w:rFonts w:ascii="Arial" w:hAnsi="Arial"/>
                <w:sz w:val="14"/>
                <w:szCs w:val="14"/>
              </w:rPr>
              <w:t>2022.</w:t>
            </w:r>
          </w:p>
        </w:tc>
        <w:tc>
          <w:tcPr>
            <w:tcW w:w="235"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38</w:t>
            </w:r>
          </w:p>
        </w:tc>
        <w:tc>
          <w:tcPr>
            <w:tcW w:w="284"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278</w:t>
            </w:r>
          </w:p>
        </w:tc>
        <w:tc>
          <w:tcPr>
            <w:tcW w:w="284"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249</w:t>
            </w:r>
          </w:p>
        </w:tc>
        <w:tc>
          <w:tcPr>
            <w:tcW w:w="235"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55</w:t>
            </w:r>
          </w:p>
        </w:tc>
        <w:tc>
          <w:tcPr>
            <w:tcW w:w="235"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30</w:t>
            </w:r>
          </w:p>
        </w:tc>
        <w:tc>
          <w:tcPr>
            <w:tcW w:w="187"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1</w:t>
            </w:r>
          </w:p>
        </w:tc>
        <w:tc>
          <w:tcPr>
            <w:tcW w:w="439"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400</w:t>
            </w:r>
          </w:p>
        </w:tc>
        <w:tc>
          <w:tcPr>
            <w:tcW w:w="301"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19</w:t>
            </w:r>
          </w:p>
        </w:tc>
        <w:tc>
          <w:tcPr>
            <w:tcW w:w="372" w:type="pct"/>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468" w:type="pct"/>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439"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66</w:t>
            </w:r>
          </w:p>
        </w:tc>
        <w:tc>
          <w:tcPr>
            <w:tcW w:w="301" w:type="pct"/>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249</w:t>
            </w:r>
          </w:p>
        </w:tc>
        <w:tc>
          <w:tcPr>
            <w:tcW w:w="372" w:type="pct"/>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468" w:type="pct"/>
            <w:shd w:val="clear" w:color="auto" w:fill="auto"/>
            <w:vAlign w:val="center"/>
          </w:tcPr>
          <w:p w:rsidR="00542B66" w:rsidRPr="001E57EA" w:rsidRDefault="00542B66" w:rsidP="00432FB6">
            <w:pPr>
              <w:spacing w:after="0"/>
              <w:jc w:val="center"/>
              <w:rPr>
                <w:rFonts w:ascii="Arial" w:hAnsi="Arial"/>
                <w:sz w:val="14"/>
                <w:szCs w:val="14"/>
                <w:lang w:val="bs-Latn-BA"/>
              </w:rPr>
            </w:pPr>
          </w:p>
        </w:tc>
      </w:tr>
      <w:tr w:rsidR="001E57EA" w:rsidRPr="001E57EA" w:rsidTr="00542B66">
        <w:trPr>
          <w:trHeight w:val="159"/>
        </w:trPr>
        <w:tc>
          <w:tcPr>
            <w:tcW w:w="380" w:type="pct"/>
            <w:vMerge/>
            <w:shd w:val="clear" w:color="auto" w:fill="auto"/>
            <w:vAlign w:val="center"/>
          </w:tcPr>
          <w:p w:rsidR="00542B66" w:rsidRPr="001E57EA" w:rsidRDefault="00542B66" w:rsidP="00432FB6">
            <w:pPr>
              <w:spacing w:after="0"/>
              <w:jc w:val="center"/>
              <w:rPr>
                <w:rFonts w:ascii="Arial" w:hAnsi="Arial"/>
                <w:sz w:val="14"/>
                <w:szCs w:val="14"/>
                <w:lang w:val="bs-Latn-BA"/>
              </w:rPr>
            </w:pPr>
          </w:p>
        </w:tc>
        <w:tc>
          <w:tcPr>
            <w:tcW w:w="1458" w:type="pct"/>
            <w:gridSpan w:val="6"/>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651</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419</w:t>
            </w:r>
          </w:p>
        </w:tc>
        <w:tc>
          <w:tcPr>
            <w:tcW w:w="1581" w:type="pct"/>
            <w:gridSpan w:val="4"/>
            <w:shd w:val="clear" w:color="auto" w:fill="auto"/>
            <w:vAlign w:val="center"/>
          </w:tcPr>
          <w:p w:rsidR="00542B66" w:rsidRPr="001E57EA" w:rsidRDefault="00542B66" w:rsidP="00432FB6">
            <w:pPr>
              <w:spacing w:after="0"/>
              <w:jc w:val="center"/>
              <w:rPr>
                <w:rFonts w:ascii="Arial" w:hAnsi="Arial"/>
                <w:sz w:val="14"/>
                <w:szCs w:val="14"/>
                <w:lang w:val="bs-Latn-BA"/>
              </w:rPr>
            </w:pPr>
            <w:r w:rsidRPr="001E57EA">
              <w:rPr>
                <w:rFonts w:ascii="Arial" w:hAnsi="Arial"/>
                <w:sz w:val="14"/>
                <w:szCs w:val="14"/>
                <w:lang w:val="bs-Latn-BA"/>
              </w:rPr>
              <w:t>315</w:t>
            </w:r>
          </w:p>
        </w:tc>
      </w:tr>
    </w:tbl>
    <w:p w:rsidR="004A0709" w:rsidRPr="001E57EA" w:rsidRDefault="005D2AE5" w:rsidP="00BF3ED5">
      <w:pPr>
        <w:pStyle w:val="Napomena"/>
      </w:pPr>
      <w:r w:rsidRPr="001E57EA">
        <w:t>a</w:t>
      </w:r>
      <w:r w:rsidR="005B3D01" w:rsidRPr="001E57EA">
        <w:t>*</w:t>
      </w:r>
      <w:r w:rsidR="002B38BE" w:rsidRPr="001E57EA">
        <w:t xml:space="preserve"> </w:t>
      </w:r>
      <w:r w:rsidRPr="001E57EA">
        <w:t>- Udaljenje iz stana, kuće ili nekog drugog stambenog prostora i zabrana vraćanja u stan, kuću ili</w:t>
      </w:r>
      <w:r w:rsidR="004A0709" w:rsidRPr="001E57EA">
        <w:t xml:space="preserve"> neki drugi stambeni pros</w:t>
      </w:r>
      <w:r w:rsidRPr="001E57EA">
        <w:t xml:space="preserve">tor; </w:t>
      </w:r>
    </w:p>
    <w:p w:rsidR="004A0709" w:rsidRPr="001E57EA" w:rsidRDefault="005D2AE5" w:rsidP="00BF3ED5">
      <w:pPr>
        <w:pStyle w:val="Napomena"/>
      </w:pPr>
      <w:r w:rsidRPr="001E57EA">
        <w:t>b</w:t>
      </w:r>
      <w:r w:rsidR="005B3D01" w:rsidRPr="001E57EA">
        <w:t>*</w:t>
      </w:r>
      <w:r w:rsidR="002B38BE" w:rsidRPr="001E57EA">
        <w:t xml:space="preserve"> </w:t>
      </w:r>
      <w:r w:rsidRPr="001E57EA">
        <w:t xml:space="preserve">- Zabrana približavanja žrtvi nasilja; </w:t>
      </w:r>
    </w:p>
    <w:p w:rsidR="004A0709" w:rsidRPr="001E57EA" w:rsidRDefault="005D2AE5" w:rsidP="00BF3ED5">
      <w:pPr>
        <w:pStyle w:val="Napomena"/>
      </w:pPr>
      <w:r w:rsidRPr="001E57EA">
        <w:t>c</w:t>
      </w:r>
      <w:r w:rsidR="005B3D01" w:rsidRPr="001E57EA">
        <w:t>*</w:t>
      </w:r>
      <w:r w:rsidR="002B38BE" w:rsidRPr="001E57EA">
        <w:t xml:space="preserve"> </w:t>
      </w:r>
      <w:r w:rsidR="00990774" w:rsidRPr="001E57EA">
        <w:t>- Zabrana uznemiravanja i</w:t>
      </w:r>
      <w:r w:rsidRPr="001E57EA">
        <w:t xml:space="preserve"> uhođenja osobe izložene nasilju; </w:t>
      </w:r>
    </w:p>
    <w:p w:rsidR="004A0709" w:rsidRPr="001E57EA" w:rsidRDefault="005D2AE5" w:rsidP="00BF3ED5">
      <w:pPr>
        <w:pStyle w:val="Napomena"/>
      </w:pPr>
      <w:r w:rsidRPr="001E57EA">
        <w:t xml:space="preserve">d* - Obavezan psihosocijalni tretman; </w:t>
      </w:r>
    </w:p>
    <w:p w:rsidR="004A0709" w:rsidRPr="001E57EA" w:rsidRDefault="005D2AE5" w:rsidP="00BF3ED5">
      <w:pPr>
        <w:pStyle w:val="Napomena"/>
      </w:pPr>
      <w:r w:rsidRPr="001E57EA">
        <w:t>e</w:t>
      </w:r>
      <w:r w:rsidR="005B3D01" w:rsidRPr="001E57EA">
        <w:t>*</w:t>
      </w:r>
      <w:r w:rsidR="002B38BE" w:rsidRPr="001E57EA">
        <w:t xml:space="preserve"> </w:t>
      </w:r>
      <w:r w:rsidRPr="001E57EA">
        <w:t xml:space="preserve">- Obavezno liječenje od ovisnosti; </w:t>
      </w:r>
    </w:p>
    <w:p w:rsidR="006B66F0" w:rsidRPr="001E57EA" w:rsidRDefault="005D2AE5" w:rsidP="00BF3ED5">
      <w:pPr>
        <w:pStyle w:val="Napomena"/>
      </w:pPr>
      <w:r w:rsidRPr="001E57EA">
        <w:t xml:space="preserve">f </w:t>
      </w:r>
      <w:r w:rsidR="005B3D01" w:rsidRPr="001E57EA">
        <w:t xml:space="preserve">* </w:t>
      </w:r>
      <w:r w:rsidRPr="001E57EA">
        <w:t>- Privremeno lišenje slobode i zadržavanje</w:t>
      </w:r>
    </w:p>
    <w:p w:rsidR="00A62CBB" w:rsidRPr="001E57EA" w:rsidRDefault="00A62CBB" w:rsidP="008066CA">
      <w:pPr>
        <w:pStyle w:val="4naslov"/>
        <w:rPr>
          <w:rFonts w:cs="Arial"/>
          <w:lang w:val="bs-Latn-BA"/>
        </w:rPr>
      </w:pPr>
      <w:bookmarkStart w:id="11" w:name="_Toc145323807"/>
      <w:r w:rsidRPr="001E57EA">
        <w:rPr>
          <w:rFonts w:cs="Arial"/>
          <w:lang w:val="bs-Latn-BA"/>
        </w:rPr>
        <w:lastRenderedPageBreak/>
        <w:t>Socijalna zaštita</w:t>
      </w:r>
      <w:bookmarkEnd w:id="11"/>
    </w:p>
    <w:p w:rsidR="00A62CBB" w:rsidRPr="001E57EA" w:rsidRDefault="00A62CBB" w:rsidP="00BF3ED5">
      <w:pPr>
        <w:pStyle w:val="TekstStrategija"/>
      </w:pPr>
      <w:r w:rsidRPr="001E57EA">
        <w:t>Pravovremenim prepoznavanjem socijalno isključenih kategorija, s posebn</w:t>
      </w:r>
      <w:r w:rsidR="00013E15" w:rsidRPr="001E57EA">
        <w:t>i</w:t>
      </w:r>
      <w:r w:rsidRPr="001E57EA">
        <w:t>m naglaskom na djecu žrtve nasilja, može se unaprijediti proces reintegracije i</w:t>
      </w:r>
      <w:r w:rsidR="007E21A6" w:rsidRPr="001E57EA">
        <w:t xml:space="preserve"> multisektorske </w:t>
      </w:r>
      <w:r w:rsidRPr="001E57EA">
        <w:t>saradnje s ciljem umanjenja efekata nasilja u porodici i ponovne integracije žrtava nasilja u društvo s posebnim naglaskom na djecu.</w:t>
      </w:r>
    </w:p>
    <w:p w:rsidR="00A62CBB" w:rsidRPr="001E57EA" w:rsidRDefault="00A62CBB" w:rsidP="00BF3ED5">
      <w:pPr>
        <w:pStyle w:val="TekstStrategija"/>
        <w:rPr>
          <w:lang w:eastAsia="en-GB"/>
        </w:rPr>
      </w:pPr>
      <w:r w:rsidRPr="001E57EA">
        <w:rPr>
          <w:lang w:eastAsia="en-GB"/>
        </w:rPr>
        <w:t xml:space="preserve">Zakonom o osnovama socijalne zaštite, zaštite civilnih žrtava rata i zaštite porodice sa djecom </w:t>
      </w:r>
      <w:r w:rsidRPr="001E57EA">
        <w:rPr>
          <w:lang w:val="hr-HR" w:eastAsia="en-GB"/>
        </w:rPr>
        <w:t>(„Službene novine F</w:t>
      </w:r>
      <w:r w:rsidR="00AA19D8" w:rsidRPr="001E57EA">
        <w:rPr>
          <w:lang w:val="hr-HR" w:eastAsia="en-GB"/>
        </w:rPr>
        <w:t xml:space="preserve">ederacije </w:t>
      </w:r>
      <w:r w:rsidRPr="001E57EA">
        <w:rPr>
          <w:lang w:val="hr-HR" w:eastAsia="en-GB"/>
        </w:rPr>
        <w:t>BiH“, br. 36/99, 54/04, 39/06</w:t>
      </w:r>
      <w:r w:rsidR="00A34E57" w:rsidRPr="001E57EA">
        <w:rPr>
          <w:lang w:val="hr-HR" w:eastAsia="en-GB"/>
        </w:rPr>
        <w:t>,</w:t>
      </w:r>
      <w:r w:rsidRPr="001E57EA">
        <w:rPr>
          <w:lang w:val="hr-HR" w:eastAsia="en-GB"/>
        </w:rPr>
        <w:t xml:space="preserve"> 14/09</w:t>
      </w:r>
      <w:r w:rsidR="00A34E57" w:rsidRPr="001E57EA">
        <w:rPr>
          <w:lang w:val="hr-HR" w:eastAsia="en-GB"/>
        </w:rPr>
        <w:t xml:space="preserve"> 7/14 – rješenje USBiH, 45/16, 19/17 – drugi zakon i 40/18</w:t>
      </w:r>
      <w:r w:rsidRPr="001E57EA">
        <w:rPr>
          <w:lang w:val="hr-HR" w:eastAsia="en-GB"/>
        </w:rPr>
        <w:t>)</w:t>
      </w:r>
      <w:r w:rsidRPr="001E57EA">
        <w:rPr>
          <w:lang w:eastAsia="en-GB"/>
        </w:rPr>
        <w:t xml:space="preserve"> uređuju se</w:t>
      </w:r>
      <w:r w:rsidR="005B3D01" w:rsidRPr="001E57EA">
        <w:rPr>
          <w:lang w:eastAsia="en-GB"/>
        </w:rPr>
        <w:t>,</w:t>
      </w:r>
      <w:r w:rsidRPr="001E57EA">
        <w:rPr>
          <w:lang w:eastAsia="en-GB"/>
        </w:rPr>
        <w:t xml:space="preserve"> između ostalog</w:t>
      </w:r>
      <w:r w:rsidR="005B3D01" w:rsidRPr="001E57EA">
        <w:rPr>
          <w:lang w:eastAsia="en-GB"/>
        </w:rPr>
        <w:t xml:space="preserve">, </w:t>
      </w:r>
      <w:r w:rsidRPr="001E57EA">
        <w:rPr>
          <w:lang w:eastAsia="en-GB"/>
        </w:rPr>
        <w:t>osnove socijalne zaštite građana i njihovih porodica</w:t>
      </w:r>
      <w:r w:rsidR="005B3D01" w:rsidRPr="001E57EA">
        <w:rPr>
          <w:lang w:eastAsia="en-GB"/>
        </w:rPr>
        <w:t xml:space="preserve">, </w:t>
      </w:r>
      <w:r w:rsidRPr="001E57EA">
        <w:rPr>
          <w:lang w:eastAsia="en-GB"/>
        </w:rPr>
        <w:t>osnovna prava iz socijalne zaštite</w:t>
      </w:r>
      <w:r w:rsidR="005B3D01" w:rsidRPr="001E57EA">
        <w:rPr>
          <w:lang w:eastAsia="en-GB"/>
        </w:rPr>
        <w:t xml:space="preserve">, prava korisnika </w:t>
      </w:r>
      <w:r w:rsidRPr="001E57EA">
        <w:rPr>
          <w:lang w:eastAsia="en-GB"/>
        </w:rPr>
        <w:t>socijalne zaštite</w:t>
      </w:r>
      <w:r w:rsidR="005B3D01" w:rsidRPr="001E57EA">
        <w:rPr>
          <w:lang w:eastAsia="en-GB"/>
        </w:rPr>
        <w:t xml:space="preserve">, </w:t>
      </w:r>
      <w:r w:rsidRPr="001E57EA">
        <w:rPr>
          <w:lang w:eastAsia="en-GB"/>
        </w:rPr>
        <w:t>osnivanje i rad ustanova socijalne zaštite i udruženja lica sa invaliditetom</w:t>
      </w:r>
      <w:r w:rsidR="00060A25" w:rsidRPr="001E57EA">
        <w:rPr>
          <w:lang w:eastAsia="en-GB"/>
        </w:rPr>
        <w:t xml:space="preserve"> </w:t>
      </w:r>
      <w:r w:rsidR="005B3D01" w:rsidRPr="001E57EA">
        <w:rPr>
          <w:lang w:eastAsia="en-GB"/>
        </w:rPr>
        <w:t>i daje</w:t>
      </w:r>
      <w:r w:rsidR="00060A25" w:rsidRPr="001E57EA">
        <w:rPr>
          <w:lang w:eastAsia="en-GB"/>
        </w:rPr>
        <w:t xml:space="preserve"> mogućnost da se propisima kantona može proširiti krug korisnika socijalne zaštite, u skladu sa programima razvoja socijalne zaštite i specifičnim prilikama u kantonu </w:t>
      </w:r>
      <w:r w:rsidR="00C31CD8" w:rsidRPr="001E57EA">
        <w:rPr>
          <w:rStyle w:val="FootnoteReference"/>
          <w:lang w:eastAsia="en-GB"/>
        </w:rPr>
        <w:footnoteReference w:id="33"/>
      </w:r>
      <w:r w:rsidRPr="001E57EA">
        <w:rPr>
          <w:lang w:eastAsia="en-GB"/>
        </w:rPr>
        <w:t xml:space="preserve">. </w:t>
      </w:r>
    </w:p>
    <w:p w:rsidR="00A62CBB" w:rsidRPr="001E57EA" w:rsidRDefault="007379E2" w:rsidP="00BF3ED5">
      <w:pPr>
        <w:pStyle w:val="TekstStrategija"/>
      </w:pPr>
      <w:r w:rsidRPr="001E57EA">
        <w:t>Kako postojeći federalni Zakon o osnovama socijalne zaštite, zaštite civilnih žrtava rata i zaštite porodice sa djecom</w:t>
      </w:r>
      <w:r w:rsidR="005B3D01" w:rsidRPr="001E57EA">
        <w:t>,</w:t>
      </w:r>
      <w:r w:rsidRPr="001E57EA">
        <w:t xml:space="preserve"> trenutno ne prepoznaje žrtve nasilja u porodici kao kategoriju korisnika socijalne zaštite, u izradi je Zakon o </w:t>
      </w:r>
      <w:r w:rsidR="0032254F" w:rsidRPr="001E57EA">
        <w:t>socijalnim uslugama</w:t>
      </w:r>
      <w:r w:rsidRPr="001E57EA">
        <w:t xml:space="preserve"> u kojem </w:t>
      </w:r>
      <w:r w:rsidR="0032254F" w:rsidRPr="001E57EA">
        <w:t>će</w:t>
      </w:r>
      <w:r w:rsidRPr="001E57EA">
        <w:t xml:space="preserve"> žrtve nasilja u porodici </w:t>
      </w:r>
      <w:r w:rsidR="0032254F" w:rsidRPr="001E57EA">
        <w:t xml:space="preserve">biti </w:t>
      </w:r>
      <w:r w:rsidRPr="001E57EA">
        <w:t xml:space="preserve">identifikovane kao kategorija korisnika socijalne zaštite, bez obzira </w:t>
      </w:r>
      <w:r w:rsidR="005B3D01" w:rsidRPr="001E57EA">
        <w:t xml:space="preserve">na to </w:t>
      </w:r>
      <w:r w:rsidRPr="001E57EA">
        <w:t xml:space="preserve">da li su to djeca ili punoljetne osobe i time im se priznaju, odnosno </w:t>
      </w:r>
      <w:r w:rsidR="002C41AE" w:rsidRPr="001E57EA">
        <w:t>omogućavaju</w:t>
      </w:r>
      <w:r w:rsidR="00921AC6" w:rsidRPr="001E57EA">
        <w:t xml:space="preserve"> </w:t>
      </w:r>
      <w:r w:rsidRPr="001E57EA">
        <w:t>prava na korištenje propisanih oblika i mjera zaštite na području cijele Federacije BiH.</w:t>
      </w:r>
      <w:r w:rsidR="00921AC6" w:rsidRPr="001E57EA">
        <w:t xml:space="preserve"> </w:t>
      </w:r>
      <w:r w:rsidR="00A62CBB" w:rsidRPr="001E57EA">
        <w:rPr>
          <w:lang w:eastAsia="bs-Latn-BA"/>
        </w:rPr>
        <w:t>Prema trenutnim kant</w:t>
      </w:r>
      <w:r w:rsidR="00F814BB" w:rsidRPr="001E57EA">
        <w:rPr>
          <w:lang w:eastAsia="bs-Latn-BA"/>
        </w:rPr>
        <w:t>o</w:t>
      </w:r>
      <w:r w:rsidR="00A62CBB" w:rsidRPr="001E57EA">
        <w:rPr>
          <w:lang w:eastAsia="bs-Latn-BA"/>
        </w:rPr>
        <w:t>nalnim propisima</w:t>
      </w:r>
      <w:r w:rsidR="005B3D01" w:rsidRPr="001E57EA">
        <w:rPr>
          <w:lang w:eastAsia="bs-Latn-BA"/>
        </w:rPr>
        <w:t>,</w:t>
      </w:r>
      <w:r w:rsidR="00A62CBB" w:rsidRPr="001E57EA">
        <w:rPr>
          <w:lang w:eastAsia="bs-Latn-BA"/>
        </w:rPr>
        <w:t xml:space="preserve"> žrtva nasilja u porodici</w:t>
      </w:r>
      <w:r w:rsidR="005B3D01" w:rsidRPr="001E57EA">
        <w:rPr>
          <w:lang w:eastAsia="bs-Latn-BA"/>
        </w:rPr>
        <w:t>,</w:t>
      </w:r>
      <w:r w:rsidR="00A62CBB" w:rsidRPr="001E57EA">
        <w:rPr>
          <w:lang w:eastAsia="bs-Latn-BA"/>
        </w:rPr>
        <w:t xml:space="preserve"> kao kategorija korisnika socijalne zaštite</w:t>
      </w:r>
      <w:r w:rsidR="005B3D01" w:rsidRPr="001E57EA">
        <w:rPr>
          <w:lang w:eastAsia="bs-Latn-BA"/>
        </w:rPr>
        <w:t>,</w:t>
      </w:r>
      <w:r w:rsidR="00A62CBB" w:rsidRPr="001E57EA">
        <w:rPr>
          <w:lang w:eastAsia="bs-Latn-BA"/>
        </w:rPr>
        <w:t xml:space="preserve"> prepoznata je samo u četiri kantonalna zakona o socijalnoj zaštiti</w:t>
      </w:r>
      <w:r w:rsidR="00A62CBB" w:rsidRPr="001E57EA">
        <w:rPr>
          <w:rStyle w:val="FootnoteReference"/>
          <w:lang w:eastAsia="bs-Latn-BA"/>
        </w:rPr>
        <w:footnoteReference w:id="34"/>
      </w:r>
      <w:r w:rsidR="00A62CBB" w:rsidRPr="001E57EA">
        <w:rPr>
          <w:lang w:eastAsia="bs-Latn-BA"/>
        </w:rPr>
        <w:t xml:space="preserve">. Također, jedino u Zakonu o izmjenama i dopunama Zakona o socijalnoj zaštiti, zaštiti civilnih žrtava rata i zaštiti porodice sa djecom Zeničko-dobojskog kantona </w:t>
      </w:r>
      <w:r w:rsidR="00C31CB3" w:rsidRPr="001E57EA">
        <w:rPr>
          <w:lang w:eastAsia="bs-Latn-BA"/>
        </w:rPr>
        <w:t>Član</w:t>
      </w:r>
      <w:r w:rsidR="00A62CBB" w:rsidRPr="001E57EA">
        <w:rPr>
          <w:lang w:eastAsia="bs-Latn-BA"/>
        </w:rPr>
        <w:t xml:space="preserve">om 6., te </w:t>
      </w:r>
      <w:r w:rsidR="00C31CB3" w:rsidRPr="001E57EA">
        <w:rPr>
          <w:lang w:eastAsia="bs-Latn-BA"/>
        </w:rPr>
        <w:t>Član</w:t>
      </w:r>
      <w:r w:rsidR="00A62CBB" w:rsidRPr="001E57EA">
        <w:rPr>
          <w:lang w:eastAsia="bs-Latn-BA"/>
        </w:rPr>
        <w:t>om 2. Zakona o izmjenama i</w:t>
      </w:r>
      <w:r w:rsidR="00921AC6" w:rsidRPr="001E57EA">
        <w:rPr>
          <w:lang w:eastAsia="bs-Latn-BA"/>
        </w:rPr>
        <w:t xml:space="preserve"> </w:t>
      </w:r>
      <w:r w:rsidR="00A62CBB" w:rsidRPr="001E57EA">
        <w:rPr>
          <w:lang w:eastAsia="bs-Latn-BA"/>
        </w:rPr>
        <w:t>dopunama zakona o socijalnoj zaštiti, zaštiti civilnih žrtava rata i zaštiti porodice sa djecom Zapadno-hercegovačkog kantona</w:t>
      </w:r>
      <w:r w:rsidR="005B3D01" w:rsidRPr="001E57EA">
        <w:rPr>
          <w:lang w:eastAsia="bs-Latn-BA"/>
        </w:rPr>
        <w:t>,</w:t>
      </w:r>
      <w:r w:rsidR="00A62CBB" w:rsidRPr="001E57EA">
        <w:rPr>
          <w:lang w:eastAsia="bs-Latn-BA"/>
        </w:rPr>
        <w:t xml:space="preserve"> kao pravo iz socijalne zaštite uvedeno je pravo i na privremeni smještaj i zbrinjavanje u sigurnoj kući. Također</w:t>
      </w:r>
      <w:r w:rsidR="007B4EB1" w:rsidRPr="001E57EA">
        <w:rPr>
          <w:lang w:eastAsia="bs-Latn-BA"/>
        </w:rPr>
        <w:t>,</w:t>
      </w:r>
      <w:r w:rsidR="00A62CBB" w:rsidRPr="001E57EA">
        <w:rPr>
          <w:lang w:eastAsia="bs-Latn-BA"/>
        </w:rPr>
        <w:t xml:space="preserve"> u Zakonu o osnovama socijalne zaštite koji je u izradi</w:t>
      </w:r>
      <w:r w:rsidR="007B4EB1" w:rsidRPr="001E57EA">
        <w:rPr>
          <w:lang w:eastAsia="bs-Latn-BA"/>
        </w:rPr>
        <w:t>,</w:t>
      </w:r>
      <w:r w:rsidR="00A62CBB" w:rsidRPr="001E57EA">
        <w:rPr>
          <w:lang w:eastAsia="bs-Latn-BA"/>
        </w:rPr>
        <w:t xml:space="preserve"> </w:t>
      </w:r>
      <w:r w:rsidR="00A62CBB" w:rsidRPr="001E57EA">
        <w:t xml:space="preserve">sigurne kuće su definirane kao ustanove socijalne zaštite i njihovo osnivanje je u skladu sa Zakonom o ustanovama, te će </w:t>
      </w:r>
      <w:r w:rsidR="007B4EB1" w:rsidRPr="001E57EA">
        <w:t xml:space="preserve">one </w:t>
      </w:r>
      <w:r w:rsidR="00A62CBB" w:rsidRPr="001E57EA">
        <w:t>biti dio sistema socijalne zaštite. Ovdje treba imati u vidu da je u oblasti socijalne zaštite donesen Pravilnik o standardima za rad i pružanje usluga u ustanovama socijalne zaštite u Federaciji BiH („Službene novine F</w:t>
      </w:r>
      <w:r w:rsidR="00AA19D8" w:rsidRPr="001E57EA">
        <w:t xml:space="preserve">ederacije </w:t>
      </w:r>
      <w:r w:rsidR="00A62CBB" w:rsidRPr="001E57EA">
        <w:t>BiH“, broj 18/13), kojim su propisani minimalni i posebni standardi za obavljanje djelatnosti, poslova socijalne zaštite u ustanovama socijalne zaštite</w:t>
      </w:r>
      <w:r w:rsidR="007B4EB1" w:rsidRPr="001E57EA">
        <w:t xml:space="preserve">. Pravilnikom su, osim </w:t>
      </w:r>
      <w:r w:rsidR="00A62CBB" w:rsidRPr="001E57EA">
        <w:t>ostalih ustanova</w:t>
      </w:r>
      <w:r w:rsidR="007B4EB1" w:rsidRPr="001E57EA">
        <w:t>,</w:t>
      </w:r>
      <w:r w:rsidR="00A62CBB" w:rsidRPr="001E57EA">
        <w:t xml:space="preserve"> </w:t>
      </w:r>
      <w:r w:rsidR="00064FB0" w:rsidRPr="001E57EA">
        <w:t xml:space="preserve">definirane </w:t>
      </w:r>
      <w:r w:rsidR="00A62CBB" w:rsidRPr="001E57EA">
        <w:t xml:space="preserve">i ustanove (sigurne kuće) za zbrinjavanje žrtve nasilja, žrtve trgovine ljudima i dr., a osnivaju </w:t>
      </w:r>
      <w:r w:rsidR="007B4EB1" w:rsidRPr="001E57EA">
        <w:t xml:space="preserve">se </w:t>
      </w:r>
      <w:r w:rsidR="00A62CBB" w:rsidRPr="001E57EA">
        <w:t>u skladu sa Zakonom o ustanovama.</w:t>
      </w:r>
    </w:p>
    <w:p w:rsidR="007E21A6" w:rsidRPr="001E57EA" w:rsidRDefault="007E21A6" w:rsidP="00BF3ED5">
      <w:pPr>
        <w:pStyle w:val="TekstStrategija"/>
      </w:pPr>
      <w:r w:rsidRPr="001E57EA">
        <w:t>Imajući u vidu određene neujednačenosti u postojećem pravnom okviru pristupilo se izradi novih propisa.</w:t>
      </w:r>
      <w:r w:rsidRPr="001E57EA">
        <w:rPr>
          <w:rStyle w:val="FootnoteReference"/>
        </w:rPr>
        <w:footnoteReference w:id="35"/>
      </w:r>
    </w:p>
    <w:p w:rsidR="00A62CBB" w:rsidRPr="001E57EA" w:rsidRDefault="00A62CBB" w:rsidP="00BF3ED5">
      <w:pPr>
        <w:pStyle w:val="TekstStrategija"/>
      </w:pPr>
      <w:r w:rsidRPr="001E57EA">
        <w:lastRenderedPageBreak/>
        <w:t xml:space="preserve">Prema evidenciji </w:t>
      </w:r>
      <w:r w:rsidR="00091D73" w:rsidRPr="001E57EA">
        <w:t>F</w:t>
      </w:r>
      <w:r w:rsidRPr="001E57EA">
        <w:t>ederalnog ministarstva rada i socijalne politike</w:t>
      </w:r>
      <w:r w:rsidR="005B3D01" w:rsidRPr="001E57EA">
        <w:t xml:space="preserve"> i</w:t>
      </w:r>
      <w:r w:rsidRPr="001E57EA">
        <w:t xml:space="preserve"> na osnovu raspoloživih podataka o korisnicima socijalne zaštite </w:t>
      </w:r>
      <w:r w:rsidR="005B3D01" w:rsidRPr="001E57EA">
        <w:t>dostavljenih od</w:t>
      </w:r>
      <w:r w:rsidR="00091D73" w:rsidRPr="001E57EA">
        <w:t xml:space="preserve"> </w:t>
      </w:r>
      <w:r w:rsidRPr="001E57EA">
        <w:t>kantonaln</w:t>
      </w:r>
      <w:r w:rsidR="005B3D01" w:rsidRPr="001E57EA">
        <w:t>ih</w:t>
      </w:r>
      <w:r w:rsidRPr="001E57EA">
        <w:t xml:space="preserve"> ministarst</w:t>
      </w:r>
      <w:r w:rsidR="00262157" w:rsidRPr="001E57EA">
        <w:t>a</w:t>
      </w:r>
      <w:r w:rsidRPr="001E57EA">
        <w:t>va nadležn</w:t>
      </w:r>
      <w:r w:rsidR="005B3D01" w:rsidRPr="001E57EA">
        <w:t>ih</w:t>
      </w:r>
      <w:r w:rsidRPr="001E57EA">
        <w:t xml:space="preserve"> za oblast socijalne zaštite u 2020. godini</w:t>
      </w:r>
      <w:r w:rsidR="00091D73" w:rsidRPr="001E57EA">
        <w:t>,</w:t>
      </w:r>
      <w:r w:rsidRPr="001E57EA">
        <w:t xml:space="preserve"> evidentirano je 2.705 osoba</w:t>
      </w:r>
      <w:r w:rsidR="005B3D01" w:rsidRPr="001E57EA">
        <w:t>,</w:t>
      </w:r>
      <w:r w:rsidRPr="001E57EA">
        <w:t xml:space="preserve"> žrtava nasilja u porodici (djeca, omladina i odrasli),</w:t>
      </w:r>
      <w:r w:rsidR="00921AC6" w:rsidRPr="001E57EA">
        <w:t xml:space="preserve"> </w:t>
      </w:r>
      <w:r w:rsidRPr="001E57EA">
        <w:t xml:space="preserve">kojima je pružena stručna pomoć organa starateljstva. </w:t>
      </w:r>
    </w:p>
    <w:p w:rsidR="00622CBC" w:rsidRPr="001E57EA" w:rsidRDefault="00622CBC" w:rsidP="00622CBC">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2</w:t>
      </w:r>
      <w:r w:rsidRPr="001E57EA">
        <w:fldChar w:fldCharType="end"/>
      </w:r>
      <w:r w:rsidRPr="001E57EA">
        <w:t>: Pružena stručna pomoć žrtvama nasilja u porodici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7"/>
        <w:gridCol w:w="678"/>
        <w:gridCol w:w="925"/>
        <w:gridCol w:w="925"/>
        <w:gridCol w:w="756"/>
        <w:gridCol w:w="864"/>
        <w:gridCol w:w="844"/>
        <w:gridCol w:w="844"/>
        <w:gridCol w:w="550"/>
        <w:gridCol w:w="662"/>
        <w:gridCol w:w="1291"/>
      </w:tblGrid>
      <w:tr w:rsidR="001E57EA" w:rsidRPr="001E57EA" w:rsidTr="00805D8D">
        <w:trPr>
          <w:trHeight w:val="134"/>
        </w:trPr>
        <w:tc>
          <w:tcPr>
            <w:tcW w:w="752" w:type="pct"/>
            <w:gridSpan w:val="2"/>
            <w:shd w:val="clear" w:color="auto" w:fill="auto"/>
            <w:vAlign w:val="center"/>
            <w:hideMark/>
          </w:tcPr>
          <w:p w:rsidR="00622CBC" w:rsidRPr="001E57EA" w:rsidRDefault="00622CBC" w:rsidP="00921AC6">
            <w:pPr>
              <w:spacing w:after="0"/>
              <w:jc w:val="center"/>
              <w:rPr>
                <w:rFonts w:ascii="Arial" w:eastAsia="Times New Roman" w:hAnsi="Arial"/>
                <w:b/>
                <w:bCs/>
                <w:sz w:val="16"/>
                <w:szCs w:val="16"/>
                <w:lang w:val="bs-Latn-BA" w:eastAsia="bs-Latn-BA"/>
              </w:rPr>
            </w:pPr>
            <w:r w:rsidRPr="001E57EA">
              <w:rPr>
                <w:rFonts w:ascii="Arial" w:eastAsia="Times New Roman" w:hAnsi="Arial"/>
                <w:b/>
                <w:bCs/>
                <w:sz w:val="16"/>
                <w:szCs w:val="16"/>
                <w:lang w:val="bs-Latn-BA" w:eastAsia="bs-Latn-BA"/>
              </w:rPr>
              <w:t>Fizičko nasilje</w:t>
            </w:r>
          </w:p>
        </w:tc>
        <w:tc>
          <w:tcPr>
            <w:tcW w:w="1026" w:type="pct"/>
            <w:gridSpan w:val="2"/>
            <w:shd w:val="clear" w:color="auto" w:fill="auto"/>
            <w:vAlign w:val="center"/>
            <w:hideMark/>
          </w:tcPr>
          <w:p w:rsidR="00622CBC" w:rsidRPr="001E57EA" w:rsidRDefault="00622CBC" w:rsidP="00921AC6">
            <w:pPr>
              <w:spacing w:after="0"/>
              <w:jc w:val="center"/>
              <w:rPr>
                <w:rFonts w:ascii="Arial" w:eastAsia="Times New Roman" w:hAnsi="Arial"/>
                <w:b/>
                <w:bCs/>
                <w:sz w:val="16"/>
                <w:szCs w:val="16"/>
                <w:lang w:val="bs-Latn-BA" w:eastAsia="bs-Latn-BA"/>
              </w:rPr>
            </w:pPr>
            <w:r w:rsidRPr="001E57EA">
              <w:rPr>
                <w:rFonts w:ascii="Arial" w:eastAsia="Times New Roman" w:hAnsi="Arial"/>
                <w:b/>
                <w:bCs/>
                <w:sz w:val="16"/>
                <w:szCs w:val="16"/>
                <w:lang w:val="bs-Latn-BA" w:eastAsia="bs-Latn-BA"/>
              </w:rPr>
              <w:t>Emocionalno nasilje</w:t>
            </w:r>
          </w:p>
        </w:tc>
        <w:tc>
          <w:tcPr>
            <w:tcW w:w="898" w:type="pct"/>
            <w:gridSpan w:val="2"/>
            <w:shd w:val="clear" w:color="auto" w:fill="auto"/>
            <w:vAlign w:val="center"/>
            <w:hideMark/>
          </w:tcPr>
          <w:p w:rsidR="00622CBC" w:rsidRPr="001E57EA" w:rsidRDefault="00622CBC" w:rsidP="00921AC6">
            <w:pPr>
              <w:spacing w:after="0"/>
              <w:jc w:val="center"/>
              <w:rPr>
                <w:rFonts w:ascii="Arial" w:eastAsia="Times New Roman" w:hAnsi="Arial"/>
                <w:b/>
                <w:bCs/>
                <w:sz w:val="16"/>
                <w:szCs w:val="16"/>
                <w:lang w:val="bs-Latn-BA" w:eastAsia="bs-Latn-BA"/>
              </w:rPr>
            </w:pPr>
            <w:r w:rsidRPr="001E57EA">
              <w:rPr>
                <w:rFonts w:ascii="Arial" w:eastAsia="Times New Roman" w:hAnsi="Arial"/>
                <w:b/>
                <w:bCs/>
                <w:sz w:val="16"/>
                <w:szCs w:val="16"/>
                <w:lang w:val="bs-Latn-BA" w:eastAsia="bs-Latn-BA"/>
              </w:rPr>
              <w:t>Seksualno nasilje</w:t>
            </w:r>
          </w:p>
        </w:tc>
        <w:tc>
          <w:tcPr>
            <w:tcW w:w="935" w:type="pct"/>
            <w:gridSpan w:val="2"/>
            <w:shd w:val="clear" w:color="auto" w:fill="auto"/>
            <w:vAlign w:val="center"/>
            <w:hideMark/>
          </w:tcPr>
          <w:p w:rsidR="00622CBC" w:rsidRPr="001E57EA" w:rsidRDefault="00622CBC" w:rsidP="00921AC6">
            <w:pPr>
              <w:spacing w:after="0"/>
              <w:jc w:val="center"/>
              <w:rPr>
                <w:rFonts w:ascii="Arial" w:eastAsia="Times New Roman" w:hAnsi="Arial"/>
                <w:b/>
                <w:bCs/>
                <w:sz w:val="16"/>
                <w:szCs w:val="16"/>
                <w:lang w:val="bs-Latn-BA" w:eastAsia="bs-Latn-BA"/>
              </w:rPr>
            </w:pPr>
            <w:r w:rsidRPr="001E57EA">
              <w:rPr>
                <w:rFonts w:ascii="Arial" w:eastAsia="Times New Roman" w:hAnsi="Arial"/>
                <w:b/>
                <w:bCs/>
                <w:sz w:val="16"/>
                <w:szCs w:val="16"/>
                <w:lang w:val="bs-Latn-BA" w:eastAsia="bs-Latn-BA"/>
              </w:rPr>
              <w:t>Drugi oblici nasilja</w:t>
            </w:r>
          </w:p>
        </w:tc>
        <w:tc>
          <w:tcPr>
            <w:tcW w:w="672" w:type="pct"/>
            <w:gridSpan w:val="2"/>
            <w:shd w:val="clear" w:color="auto" w:fill="auto"/>
            <w:vAlign w:val="center"/>
            <w:hideMark/>
          </w:tcPr>
          <w:p w:rsidR="00622CBC" w:rsidRPr="001E57EA" w:rsidRDefault="00622CBC" w:rsidP="00921AC6">
            <w:pPr>
              <w:spacing w:after="0"/>
              <w:jc w:val="center"/>
              <w:rPr>
                <w:rFonts w:ascii="Arial" w:eastAsia="Times New Roman" w:hAnsi="Arial"/>
                <w:b/>
                <w:bCs/>
                <w:sz w:val="16"/>
                <w:szCs w:val="16"/>
                <w:lang w:val="bs-Latn-BA" w:eastAsia="bs-Latn-BA"/>
              </w:rPr>
            </w:pPr>
            <w:r w:rsidRPr="001E57EA">
              <w:rPr>
                <w:rFonts w:ascii="Arial" w:eastAsia="Times New Roman" w:hAnsi="Arial"/>
                <w:b/>
                <w:bCs/>
                <w:sz w:val="16"/>
                <w:szCs w:val="16"/>
                <w:lang w:val="bs-Latn-BA" w:eastAsia="bs-Latn-BA"/>
              </w:rPr>
              <w:t>UKUPNO</w:t>
            </w:r>
          </w:p>
        </w:tc>
        <w:tc>
          <w:tcPr>
            <w:tcW w:w="718" w:type="pct"/>
            <w:shd w:val="clear" w:color="auto" w:fill="auto"/>
            <w:vAlign w:val="center"/>
            <w:hideMark/>
          </w:tcPr>
          <w:p w:rsidR="00622CBC" w:rsidRPr="001E57EA" w:rsidRDefault="00622CBC" w:rsidP="00921AC6">
            <w:pPr>
              <w:spacing w:after="0"/>
              <w:jc w:val="center"/>
              <w:rPr>
                <w:rFonts w:ascii="Arial" w:eastAsia="Times New Roman" w:hAnsi="Arial"/>
                <w:b/>
                <w:bCs/>
                <w:sz w:val="16"/>
                <w:szCs w:val="16"/>
                <w:lang w:val="bs-Latn-BA" w:eastAsia="bs-Latn-BA"/>
              </w:rPr>
            </w:pPr>
            <w:r w:rsidRPr="001E57EA">
              <w:rPr>
                <w:rFonts w:ascii="Arial" w:eastAsia="Times New Roman" w:hAnsi="Arial"/>
                <w:b/>
                <w:bCs/>
                <w:sz w:val="16"/>
                <w:szCs w:val="16"/>
                <w:lang w:val="bs-Latn-BA" w:eastAsia="bs-Latn-BA"/>
              </w:rPr>
              <w:t>Sveukupno</w:t>
            </w:r>
          </w:p>
        </w:tc>
      </w:tr>
      <w:tr w:rsidR="001E57EA" w:rsidRPr="001E57EA" w:rsidTr="00805D8D">
        <w:trPr>
          <w:trHeight w:val="67"/>
        </w:trPr>
        <w:tc>
          <w:tcPr>
            <w:tcW w:w="376"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M</w:t>
            </w:r>
          </w:p>
        </w:tc>
        <w:tc>
          <w:tcPr>
            <w:tcW w:w="376"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Ž</w:t>
            </w:r>
          </w:p>
        </w:tc>
        <w:tc>
          <w:tcPr>
            <w:tcW w:w="513"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M</w:t>
            </w:r>
          </w:p>
        </w:tc>
        <w:tc>
          <w:tcPr>
            <w:tcW w:w="513"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Ž</w:t>
            </w:r>
          </w:p>
        </w:tc>
        <w:tc>
          <w:tcPr>
            <w:tcW w:w="419"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M</w:t>
            </w:r>
          </w:p>
        </w:tc>
        <w:tc>
          <w:tcPr>
            <w:tcW w:w="479"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Ž</w:t>
            </w:r>
          </w:p>
        </w:tc>
        <w:tc>
          <w:tcPr>
            <w:tcW w:w="468"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M</w:t>
            </w:r>
          </w:p>
        </w:tc>
        <w:tc>
          <w:tcPr>
            <w:tcW w:w="468"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Ž</w:t>
            </w:r>
          </w:p>
        </w:tc>
        <w:tc>
          <w:tcPr>
            <w:tcW w:w="305"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M</w:t>
            </w:r>
          </w:p>
        </w:tc>
        <w:tc>
          <w:tcPr>
            <w:tcW w:w="367" w:type="pct"/>
            <w:shd w:val="clear" w:color="auto" w:fill="auto"/>
            <w:vAlign w:val="center"/>
            <w:hideMark/>
          </w:tcPr>
          <w:p w:rsidR="00622CBC" w:rsidRPr="001E57EA" w:rsidRDefault="00622CBC" w:rsidP="00805D8D">
            <w:pPr>
              <w:spacing w:after="0"/>
              <w:jc w:val="center"/>
              <w:rPr>
                <w:rFonts w:ascii="Arial" w:eastAsia="Times New Roman" w:hAnsi="Arial"/>
                <w:b/>
                <w:sz w:val="16"/>
                <w:szCs w:val="16"/>
                <w:lang w:val="bs-Latn-BA" w:eastAsia="bs-Latn-BA"/>
              </w:rPr>
            </w:pPr>
            <w:r w:rsidRPr="001E57EA">
              <w:rPr>
                <w:rFonts w:ascii="Arial" w:eastAsia="Times New Roman" w:hAnsi="Arial"/>
                <w:b/>
                <w:sz w:val="16"/>
                <w:szCs w:val="16"/>
                <w:lang w:val="bs-Latn-BA" w:eastAsia="bs-Latn-BA"/>
              </w:rPr>
              <w:t>Ž</w:t>
            </w:r>
          </w:p>
        </w:tc>
        <w:tc>
          <w:tcPr>
            <w:tcW w:w="718" w:type="pct"/>
            <w:shd w:val="clear" w:color="auto" w:fill="auto"/>
            <w:vAlign w:val="center"/>
            <w:hideMark/>
          </w:tcPr>
          <w:p w:rsidR="00622CBC" w:rsidRPr="001E57EA" w:rsidRDefault="00622CBC" w:rsidP="00805D8D">
            <w:pPr>
              <w:spacing w:after="0"/>
              <w:jc w:val="center"/>
              <w:rPr>
                <w:rFonts w:ascii="Arial" w:eastAsia="Times New Roman" w:hAnsi="Arial"/>
                <w:b/>
                <w:bCs/>
                <w:sz w:val="16"/>
                <w:szCs w:val="16"/>
                <w:lang w:val="bs-Latn-BA" w:eastAsia="bs-Latn-BA"/>
              </w:rPr>
            </w:pPr>
            <w:r w:rsidRPr="001E57EA">
              <w:rPr>
                <w:rFonts w:ascii="Arial" w:eastAsia="Times New Roman" w:hAnsi="Arial"/>
                <w:b/>
                <w:bCs/>
                <w:sz w:val="16"/>
                <w:szCs w:val="16"/>
                <w:lang w:val="bs-Latn-BA" w:eastAsia="bs-Latn-BA"/>
              </w:rPr>
              <w:t>M+Ž</w:t>
            </w:r>
          </w:p>
        </w:tc>
      </w:tr>
      <w:tr w:rsidR="00622CBC" w:rsidRPr="001E57EA" w:rsidTr="00805D8D">
        <w:trPr>
          <w:trHeight w:val="315"/>
        </w:trPr>
        <w:tc>
          <w:tcPr>
            <w:tcW w:w="376"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164</w:t>
            </w:r>
          </w:p>
        </w:tc>
        <w:tc>
          <w:tcPr>
            <w:tcW w:w="376"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919</w:t>
            </w:r>
          </w:p>
        </w:tc>
        <w:tc>
          <w:tcPr>
            <w:tcW w:w="513"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241</w:t>
            </w:r>
          </w:p>
        </w:tc>
        <w:tc>
          <w:tcPr>
            <w:tcW w:w="513"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814</w:t>
            </w:r>
          </w:p>
        </w:tc>
        <w:tc>
          <w:tcPr>
            <w:tcW w:w="419"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2</w:t>
            </w:r>
          </w:p>
        </w:tc>
        <w:tc>
          <w:tcPr>
            <w:tcW w:w="479"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28</w:t>
            </w:r>
          </w:p>
        </w:tc>
        <w:tc>
          <w:tcPr>
            <w:tcW w:w="468"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154</w:t>
            </w:r>
          </w:p>
        </w:tc>
        <w:tc>
          <w:tcPr>
            <w:tcW w:w="468"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375</w:t>
            </w:r>
          </w:p>
        </w:tc>
        <w:tc>
          <w:tcPr>
            <w:tcW w:w="305"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569</w:t>
            </w:r>
          </w:p>
        </w:tc>
        <w:tc>
          <w:tcPr>
            <w:tcW w:w="367"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2136</w:t>
            </w:r>
          </w:p>
        </w:tc>
        <w:tc>
          <w:tcPr>
            <w:tcW w:w="718" w:type="pct"/>
            <w:shd w:val="clear" w:color="auto" w:fill="auto"/>
            <w:vAlign w:val="center"/>
            <w:hideMark/>
          </w:tcPr>
          <w:p w:rsidR="00622CBC" w:rsidRPr="001E57EA" w:rsidRDefault="00622CBC" w:rsidP="00805D8D">
            <w:pPr>
              <w:spacing w:after="0"/>
              <w:jc w:val="center"/>
              <w:rPr>
                <w:rFonts w:ascii="Arial" w:eastAsia="Times New Roman" w:hAnsi="Arial"/>
                <w:sz w:val="16"/>
                <w:szCs w:val="16"/>
                <w:lang w:val="bs-Latn-BA" w:eastAsia="bs-Latn-BA"/>
              </w:rPr>
            </w:pPr>
            <w:r w:rsidRPr="001E57EA">
              <w:rPr>
                <w:rFonts w:ascii="Arial" w:eastAsia="Times New Roman" w:hAnsi="Arial"/>
                <w:sz w:val="16"/>
                <w:szCs w:val="16"/>
                <w:lang w:val="bs-Latn-BA" w:eastAsia="bs-Latn-BA"/>
              </w:rPr>
              <w:t>2705</w:t>
            </w:r>
          </w:p>
        </w:tc>
      </w:tr>
    </w:tbl>
    <w:p w:rsidR="00622CBC" w:rsidRPr="001E57EA" w:rsidRDefault="00622CBC" w:rsidP="00BF3ED5">
      <w:pPr>
        <w:pStyle w:val="TekstStrategija"/>
      </w:pPr>
    </w:p>
    <w:p w:rsidR="00A62CBB" w:rsidRPr="001E57EA" w:rsidRDefault="00A62CBB" w:rsidP="00BF3ED5">
      <w:pPr>
        <w:pStyle w:val="TekstStrategija"/>
      </w:pPr>
      <w:r w:rsidRPr="001E57EA">
        <w:t>Analizom podataka utvrđeno je da u navedenom izvještajnom periodu evidentirano 614 djece žrtava nasilja u porodici uzrasta od 0</w:t>
      </w:r>
      <w:r w:rsidR="005B3D01" w:rsidRPr="001E57EA">
        <w:t xml:space="preserve"> do </w:t>
      </w:r>
      <w:r w:rsidRPr="001E57EA">
        <w:t>18 godina, gdje su djeca u dobi od 8</w:t>
      </w:r>
      <w:r w:rsidR="005B3D01" w:rsidRPr="001E57EA">
        <w:t xml:space="preserve"> do </w:t>
      </w:r>
      <w:r w:rsidRPr="001E57EA">
        <w:t>14 godina bila najizloženija i to u</w:t>
      </w:r>
      <w:r w:rsidR="00467758" w:rsidRPr="001E57EA">
        <w:t xml:space="preserve"> 244 slučaja. Kada je riječ o o</w:t>
      </w:r>
      <w:r w:rsidRPr="001E57EA">
        <w:t>mladini odnosno dobnoj skupini uzrasta od 19</w:t>
      </w:r>
      <w:r w:rsidR="005B3D01" w:rsidRPr="001E57EA">
        <w:t xml:space="preserve"> do </w:t>
      </w:r>
      <w:r w:rsidRPr="001E57EA">
        <w:t>27 godina evidentirana su 452 slučaja. Posmatrajući dalje podatke</w:t>
      </w:r>
      <w:r w:rsidR="005B3D01" w:rsidRPr="001E57EA">
        <w:t>,</w:t>
      </w:r>
      <w:r w:rsidR="00921AC6" w:rsidRPr="001E57EA">
        <w:t xml:space="preserve"> </w:t>
      </w:r>
      <w:r w:rsidRPr="001E57EA">
        <w:t>osobe starosne dobi od 28</w:t>
      </w:r>
      <w:r w:rsidR="005B3D01" w:rsidRPr="001E57EA">
        <w:t xml:space="preserve"> do </w:t>
      </w:r>
      <w:r w:rsidRPr="001E57EA">
        <w:t>45 godina u 2020. godini su u najvećem broju evidentirane kao žrtve nasilja</w:t>
      </w:r>
      <w:r w:rsidR="005B3D01" w:rsidRPr="001E57EA">
        <w:t>, i to</w:t>
      </w:r>
      <w:r w:rsidRPr="001E57EA">
        <w:t xml:space="preserve"> u 894 slučaja (Ž u 792 slučaja, M u 102 slučaja). </w:t>
      </w:r>
      <w:r w:rsidR="00C621BC" w:rsidRPr="001E57EA">
        <w:t>Prema podacima centara za socij</w:t>
      </w:r>
      <w:r w:rsidR="007E21A6" w:rsidRPr="001E57EA">
        <w:t>a</w:t>
      </w:r>
      <w:r w:rsidR="00C621BC" w:rsidRPr="001E57EA">
        <w:t>l</w:t>
      </w:r>
      <w:r w:rsidR="007E21A6" w:rsidRPr="001E57EA">
        <w:t>ni rad</w:t>
      </w:r>
      <w:r w:rsidR="005B3D01" w:rsidRPr="001E57EA">
        <w:t>,</w:t>
      </w:r>
      <w:r w:rsidR="007E21A6" w:rsidRPr="001E57EA">
        <w:t xml:space="preserve"> n</w:t>
      </w:r>
      <w:r w:rsidRPr="001E57EA">
        <w:t xml:space="preserve">ajzastupljeniji oblici nasilja u 2020. godini su fizičko i emocionalno nasilje. </w:t>
      </w:r>
    </w:p>
    <w:p w:rsidR="008E74F2" w:rsidRPr="001E57EA" w:rsidRDefault="008E74F2" w:rsidP="008066CA">
      <w:pPr>
        <w:pStyle w:val="4naslov"/>
        <w:rPr>
          <w:rFonts w:cs="Arial"/>
          <w:shd w:val="clear" w:color="auto" w:fill="FFFFFF"/>
          <w:lang w:eastAsia="bs-Latn-BA"/>
        </w:rPr>
      </w:pPr>
      <w:bookmarkStart w:id="12" w:name="_Toc145323808"/>
      <w:r w:rsidRPr="001E57EA">
        <w:rPr>
          <w:rFonts w:cs="Arial"/>
          <w:shd w:val="clear" w:color="auto" w:fill="FFFFFF"/>
          <w:lang w:eastAsia="bs-Latn-BA"/>
        </w:rPr>
        <w:t>Zdravstvena zaštita</w:t>
      </w:r>
      <w:bookmarkEnd w:id="12"/>
    </w:p>
    <w:p w:rsidR="008E74F2" w:rsidRPr="001E57EA" w:rsidRDefault="008E74F2" w:rsidP="00BF3ED5">
      <w:pPr>
        <w:pStyle w:val="TekstStrategija"/>
        <w:rPr>
          <w:lang w:eastAsia="bs-Latn-BA"/>
        </w:rPr>
      </w:pPr>
      <w:r w:rsidRPr="001E57EA">
        <w:rPr>
          <w:lang w:eastAsia="bs-Latn-BA"/>
        </w:rPr>
        <w:t>Zdravstveni</w:t>
      </w:r>
      <w:r w:rsidR="00921AC6" w:rsidRPr="001E57EA">
        <w:rPr>
          <w:lang w:eastAsia="bs-Latn-BA"/>
        </w:rPr>
        <w:t xml:space="preserve"> </w:t>
      </w:r>
      <w:r w:rsidRPr="001E57EA">
        <w:rPr>
          <w:lang w:eastAsia="bs-Latn-BA"/>
        </w:rPr>
        <w:t xml:space="preserve">radnici i saradnici u zdravstvenim ustanovama obavezni su u kontaktu sa žrtvama nasilja osigurati adekvatan zdravstveni tretman žrtve nasilja, na vrijeme evidentirati i dokumentirati slučajeve nasilja i tako omogućiti ranu intervenciju i prevenciju nasilja, odnosno prijaviti nasilje nadležnoj policijskoj upravi, a ako </w:t>
      </w:r>
      <w:r w:rsidR="00013E15" w:rsidRPr="001E57EA">
        <w:rPr>
          <w:lang w:eastAsia="bs-Latn-BA"/>
        </w:rPr>
        <w:t>se radi o djetetu obavezno obav</w:t>
      </w:r>
      <w:r w:rsidRPr="001E57EA">
        <w:rPr>
          <w:lang w:eastAsia="bs-Latn-BA"/>
        </w:rPr>
        <w:t xml:space="preserve">ijestiti i nadležni centar za socijalni rad. Zdravstveni radnici slučaj nasilja obavezno prijavljuju uz podnošenje detaljnog liječničkog nalaza, s napomenom da jedan primjerak nalaza treba predati žrtvi odmah po pregledu. Ukoliko se nasilje desi izvan prostorija zdravstvenih ustanova, na poziv policije, centra za socijalni rad ili drugih osoba koje su očevici nasilja na terenu, ekipa hitne medicinske službe izlazi odmah na lice mjesta. </w:t>
      </w:r>
      <w:r w:rsidR="00C621BC" w:rsidRPr="001E57EA">
        <w:rPr>
          <w:lang w:eastAsia="bs-Latn-BA"/>
        </w:rPr>
        <w:t xml:space="preserve">Važno je </w:t>
      </w:r>
      <w:r w:rsidRPr="001E57EA">
        <w:rPr>
          <w:lang w:eastAsia="bs-Latn-BA"/>
        </w:rPr>
        <w:t>utvrditi uzroke nastanka povreda, obaviti kompletan zdravstveni pregled i sačiniti detaljan liječnički nalaz, baziran na pravilno vođenom intervjuu, anamnezi i fizikalnom pregledu, te dokumentirati sve navedeno.</w:t>
      </w:r>
      <w:r w:rsidR="005B3D01" w:rsidRPr="001E57EA">
        <w:rPr>
          <w:lang w:eastAsia="bs-Latn-BA"/>
        </w:rPr>
        <w:t xml:space="preserve"> </w:t>
      </w:r>
      <w:r w:rsidR="00C621BC" w:rsidRPr="001E57EA">
        <w:rPr>
          <w:lang w:eastAsia="bs-Latn-BA"/>
        </w:rPr>
        <w:t>Ž</w:t>
      </w:r>
      <w:r w:rsidRPr="001E57EA">
        <w:rPr>
          <w:lang w:eastAsia="bs-Latn-BA"/>
        </w:rPr>
        <w:t xml:space="preserve">rtva nasilja </w:t>
      </w:r>
      <w:r w:rsidR="00C621BC" w:rsidRPr="001E57EA">
        <w:rPr>
          <w:lang w:eastAsia="bs-Latn-BA"/>
        </w:rPr>
        <w:t xml:space="preserve">ima </w:t>
      </w:r>
      <w:r w:rsidRPr="001E57EA">
        <w:rPr>
          <w:lang w:eastAsia="bs-Latn-BA"/>
        </w:rPr>
        <w:t>prednost u svakom obliku medicinskog zbrinjavanja, fizičkog ili mentalnog</w:t>
      </w:r>
      <w:r w:rsidR="003959BA" w:rsidRPr="001E57EA">
        <w:rPr>
          <w:lang w:eastAsia="bs-Latn-BA"/>
        </w:rPr>
        <w:t xml:space="preserve">. </w:t>
      </w:r>
    </w:p>
    <w:p w:rsidR="009F52FA" w:rsidRPr="001E57EA" w:rsidRDefault="009F52FA" w:rsidP="00BF3ED5">
      <w:pPr>
        <w:pStyle w:val="TekstStrategija"/>
        <w:rPr>
          <w:lang w:eastAsia="bs-Latn-BA"/>
        </w:rPr>
      </w:pPr>
      <w:r w:rsidRPr="001E57EA">
        <w:rPr>
          <w:lang w:eastAsia="bs-Latn-BA"/>
        </w:rPr>
        <w:t xml:space="preserve">Zdravstveni sektor mora osigurati da se smanji broj službi i </w:t>
      </w:r>
      <w:r w:rsidR="00C570A8" w:rsidRPr="001E57EA">
        <w:rPr>
          <w:lang w:eastAsia="bs-Latn-BA"/>
        </w:rPr>
        <w:t xml:space="preserve">pružalaca </w:t>
      </w:r>
      <w:r w:rsidRPr="001E57EA">
        <w:rPr>
          <w:lang w:eastAsia="bs-Latn-BA"/>
        </w:rPr>
        <w:t xml:space="preserve">usluga koje žena treba kontaktirati i da joj se olakša pristup potrebnim uslugama na primjeren način, poštujući njeno dostojanstvo i povjerljivost, te dajući prioritet njenoj sigurnosti. </w:t>
      </w:r>
    </w:p>
    <w:p w:rsidR="001C33BD" w:rsidRPr="001E57EA" w:rsidRDefault="00C570A8" w:rsidP="00BF3ED5">
      <w:pPr>
        <w:pStyle w:val="TekstStrategija"/>
        <w:rPr>
          <w:lang w:eastAsia="bs-Latn-BA"/>
        </w:rPr>
      </w:pPr>
      <w:r w:rsidRPr="001E57EA">
        <w:rPr>
          <w:lang w:eastAsia="bs-Latn-BA"/>
        </w:rPr>
        <w:t xml:space="preserve">Pružaoci </w:t>
      </w:r>
      <w:r w:rsidR="001C33BD" w:rsidRPr="001E57EA">
        <w:rPr>
          <w:lang w:eastAsia="bs-Latn-BA"/>
        </w:rPr>
        <w:t xml:space="preserve">zdravstvene zaštite odgovorni su za pružanje medicinske njege i podrške žrtvama, te za izbjegavanje svakog ponašanja koje može dovesti do sekundarne </w:t>
      </w:r>
      <w:r w:rsidR="001C33BD" w:rsidRPr="001E57EA">
        <w:rPr>
          <w:lang w:eastAsia="bs-Latn-BA"/>
        </w:rPr>
        <w:lastRenderedPageBreak/>
        <w:t>traumatizacije. Nipošto se ne smatra da je uloga zdravstvenih stručnjaka da procijene vjerodostojnost navodnog nasilja ili da se okrivi žrtva.</w:t>
      </w:r>
      <w:r w:rsidR="001C33BD" w:rsidRPr="001E57EA">
        <w:rPr>
          <w:vertAlign w:val="superscript"/>
          <w:lang w:eastAsia="bs-Latn-BA"/>
        </w:rPr>
        <w:footnoteReference w:id="36"/>
      </w:r>
      <w:r w:rsidR="001C33BD" w:rsidRPr="001E57EA">
        <w:rPr>
          <w:lang w:eastAsia="bs-Latn-BA"/>
        </w:rPr>
        <w:t xml:space="preserve"> </w:t>
      </w:r>
    </w:p>
    <w:p w:rsidR="008E74F2" w:rsidRPr="001E57EA" w:rsidRDefault="008E74F2" w:rsidP="00BF3ED5">
      <w:pPr>
        <w:pStyle w:val="TekstStrategija"/>
        <w:rPr>
          <w:iCs/>
          <w:lang w:val="hr-BA"/>
        </w:rPr>
      </w:pPr>
      <w:r w:rsidRPr="001E57EA">
        <w:t xml:space="preserve">U oblasti zdravstva, razvijen je generički interni Protokol o postupanju sa žrtvama rodno zasnovanog nasilja, uključujući žrtve seksualnog nasilja i torture u ratu. Protokol sadrži i standardne operativne procedure </w:t>
      </w:r>
      <w:r w:rsidR="002B38BE" w:rsidRPr="001E57EA">
        <w:t xml:space="preserve">(SOP) </w:t>
      </w:r>
      <w:r w:rsidR="009E463C" w:rsidRPr="001E57EA">
        <w:t xml:space="preserve">za prepoznavanje žrtava nasilja i </w:t>
      </w:r>
      <w:r w:rsidRPr="001E57EA">
        <w:t>za postupanje sa žrtvama u različitim službama u okviru doma zdravlja. Protokol i SOP namijenjeni su domovima zdravlja, obavezno se prilagođavaju za primjenu u lokalnom kontekstu, tako da prate organizaciju unutar doma zdravlja, te kapacitete u zajednici (od značaja za multisektorsku saradnju). Standardne operativne procedure</w:t>
      </w:r>
      <w:r w:rsidRPr="001E57EA">
        <w:rPr>
          <w:iCs/>
          <w:lang w:val="hr-BA"/>
        </w:rPr>
        <w:t xml:space="preserve"> odnose se na put korisnika usluga (pacijenta) unutar sistema zdravstva, prepoznavanje žrtve, pregled žrtve, dokumentiranje rada sa žrtavama, šifriranje i prijavljivanje žrtava rodno zasnovanog nasilja. </w:t>
      </w:r>
      <w:r w:rsidR="009E463C" w:rsidRPr="001E57EA">
        <w:rPr>
          <w:iCs/>
          <w:lang w:val="hr-BA"/>
        </w:rPr>
        <w:t xml:space="preserve">Određeni broj domova zdravlja je prilagodio svojoj organizaciji ovaj Protokol i standardne operativne procedure. </w:t>
      </w:r>
      <w:r w:rsidRPr="001E57EA">
        <w:rPr>
          <w:iCs/>
          <w:lang w:val="hr-BA"/>
        </w:rPr>
        <w:t>Interni mehanizam koordinacije ima za cilj da ojača odgovor sistema zdravstva na prava i potrebe žrtava, čime se ujedno jača i uloga zdravstvenog sektora u ukupnoj zaštiti žrtava.</w:t>
      </w:r>
      <w:r w:rsidR="00EF6075" w:rsidRPr="001E57EA">
        <w:rPr>
          <w:iCs/>
          <w:lang w:val="hr-BA"/>
        </w:rPr>
        <w:t xml:space="preserve"> </w:t>
      </w:r>
    </w:p>
    <w:p w:rsidR="003959BA" w:rsidRPr="001E57EA" w:rsidRDefault="003959BA" w:rsidP="00BF3ED5">
      <w:pPr>
        <w:pStyle w:val="TekstStrategija"/>
      </w:pPr>
      <w:r w:rsidRPr="001E57EA">
        <w:t xml:space="preserve">U cilju realizacije mjera i aktivnosti ranije strategije u ovoj oblasti Federalno ministarstvo zdravstva razvilo je Resursni paket: </w:t>
      </w:r>
      <w:r w:rsidR="005B3D01" w:rsidRPr="001E57EA">
        <w:t>„</w:t>
      </w:r>
      <w:r w:rsidRPr="001E57EA">
        <w:t xml:space="preserve">Jačanje odgovora pružaoca zdravstvenih i psihosocijalnih usluga na rodno zasnovano nasilje u mirnodopskim i vanrednim okolnostima, uključujući i seksualno nasilje u konfliktu“. Publikacija sadrži 12 posebnih dokumenata, namijenjenih prepoznavanju žrtava i postupanju zdravstvenih profesionalaca sa žrtvama rodno zasnovanog nasilja, uključujući žrtve seksualnog nasilja i torture u ratu. Također, dokumenti obuhvataju i obaveze multisektorske saradnje radi osiguranja adekvatnog stručnog postupanja sa žrtvama. Do sada je </w:t>
      </w:r>
      <w:r w:rsidR="005B3D01" w:rsidRPr="001E57EA">
        <w:t xml:space="preserve">realizirano </w:t>
      </w:r>
      <w:r w:rsidRPr="001E57EA">
        <w:t xml:space="preserve">67 edukacija koje su rezultirale obukom 1.675 zdravstvenih profesionalaca o prepoznavanju i postupanju sa žrtvama nasilja u porodici. Navedene obuke </w:t>
      </w:r>
      <w:r w:rsidR="005B3D01" w:rsidRPr="001E57EA">
        <w:t xml:space="preserve">doprinijele </w:t>
      </w:r>
      <w:r w:rsidRPr="001E57EA">
        <w:t xml:space="preserve">su osnaživanju profesionalaca za prepoznavanje nasilja u praksi i odgovarajuće postupanje. Osim toga, pripremljen je i priručnik „Kliničko postupanje u slučajevima silovanja“ koji sadrži i Standardne operativne procedure za kliničko postupanje u slučajevima silovanja. </w:t>
      </w:r>
    </w:p>
    <w:p w:rsidR="003959BA" w:rsidRPr="001E57EA" w:rsidRDefault="003959BA" w:rsidP="00BF3ED5">
      <w:pPr>
        <w:pStyle w:val="TekstStrategija"/>
      </w:pPr>
      <w:r w:rsidRPr="001E57EA">
        <w:t>S ciljem jačanja kapaciteta provodioca psihosocijalnog tretmana</w:t>
      </w:r>
      <w:r w:rsidR="005B3D01" w:rsidRPr="001E57EA">
        <w:t>,</w:t>
      </w:r>
      <w:r w:rsidRPr="001E57EA">
        <w:t xml:space="preserve"> pripremljen je program obuke „Psihosocijalni tretman </w:t>
      </w:r>
      <w:r w:rsidR="00C570A8" w:rsidRPr="001E57EA">
        <w:t xml:space="preserve">počinioca </w:t>
      </w:r>
      <w:r w:rsidRPr="001E57EA">
        <w:t xml:space="preserve">rodno zasnovanog nasilja u porodici“, prema kojem su </w:t>
      </w:r>
      <w:r w:rsidR="005B3D01" w:rsidRPr="001E57EA">
        <w:t xml:space="preserve">realizirana </w:t>
      </w:r>
      <w:r w:rsidRPr="001E57EA">
        <w:t>četiri ciklusa obuka kroz koje je certificirano 28 osoba, čime se povećava obuhvat centara za mentalno zdravlje koji imaju mogućnost provođenja ove zaštitne mjere. Na važnost razvoja kapaciteta za provođenje psihosocij</w:t>
      </w:r>
      <w:r w:rsidR="00A6750A" w:rsidRPr="001E57EA">
        <w:t>al</w:t>
      </w:r>
      <w:r w:rsidRPr="001E57EA">
        <w:t xml:space="preserve">nog tretmana pokazuje i Evaluacija </w:t>
      </w:r>
      <w:r w:rsidR="007B4EB1" w:rsidRPr="001E57EA">
        <w:t xml:space="preserve">utjecaja </w:t>
      </w:r>
      <w:r w:rsidRPr="001E57EA">
        <w:t>provedbe zaštitnih mjera, koja je između ostalog pokazala da najbolji efekat na neponavljanje nasilja u porodici ima upravo mjera psihosocijalnog tretmana počinilaca nasilja.</w:t>
      </w:r>
    </w:p>
    <w:p w:rsidR="008D357E" w:rsidRPr="001E57EA" w:rsidRDefault="008D357E" w:rsidP="008066CA">
      <w:pPr>
        <w:pStyle w:val="4naslov"/>
        <w:rPr>
          <w:rFonts w:cs="Arial"/>
          <w:lang w:val="bs-Latn-BA"/>
        </w:rPr>
      </w:pPr>
      <w:bookmarkStart w:id="13" w:name="_Toc145323809"/>
      <w:r w:rsidRPr="001E57EA">
        <w:rPr>
          <w:rFonts w:cs="Arial"/>
          <w:lang w:val="bs-Latn-BA"/>
        </w:rPr>
        <w:t>Besplatna pravna pomoć</w:t>
      </w:r>
      <w:bookmarkEnd w:id="13"/>
    </w:p>
    <w:p w:rsidR="008D357E" w:rsidRPr="001E57EA" w:rsidRDefault="008D357E" w:rsidP="00BF3ED5">
      <w:pPr>
        <w:pStyle w:val="TekstStrategija"/>
      </w:pPr>
      <w:r w:rsidRPr="001E57EA">
        <w:t xml:space="preserve">Pravo na besplatnu pravnu pomoć je jedno od osnovnih ljudskih prava, te </w:t>
      </w:r>
      <w:r w:rsidR="00A6750A" w:rsidRPr="001E57EA">
        <w:t xml:space="preserve">podrazumijeva </w:t>
      </w:r>
      <w:r w:rsidRPr="001E57EA">
        <w:t xml:space="preserve">pravo svakog građanina na jednak pristup pravdi. Pravni okvir i sistem </w:t>
      </w:r>
      <w:r w:rsidRPr="001E57EA">
        <w:lastRenderedPageBreak/>
        <w:t xml:space="preserve">besplatne pravne pomoći nije </w:t>
      </w:r>
      <w:r w:rsidR="00064FB0" w:rsidRPr="001E57EA">
        <w:t xml:space="preserve">reguliran </w:t>
      </w:r>
      <w:r w:rsidRPr="001E57EA">
        <w:t>kroz propis na nivou Federacije Bosne i Hercegovine nego kroz devet kantonalnih zakona o pružanju besplatne pravne pomoći</w:t>
      </w:r>
      <w:r w:rsidRPr="001E57EA">
        <w:rPr>
          <w:rStyle w:val="FootnoteReference"/>
        </w:rPr>
        <w:footnoteReference w:id="37"/>
      </w:r>
      <w:r w:rsidR="00791BAF" w:rsidRPr="001E57EA">
        <w:t xml:space="preserve">. </w:t>
      </w:r>
      <w:r w:rsidRPr="001E57EA">
        <w:t xml:space="preserve">U skladu sa donesenim zakonima o besplatnoj pravnoj pomoći određeni su subjekti nadležni za pružanje besplatne pravne pomoći (vladini i nevladini), vrsta i obim pravnih usluga kao i </w:t>
      </w:r>
      <w:r w:rsidR="00064FB0" w:rsidRPr="001E57EA">
        <w:t>uvjet</w:t>
      </w:r>
      <w:r w:rsidRPr="001E57EA">
        <w:t xml:space="preserve">i za ostvarivanje prava na pravnu pomoć bez naknade. U zakonskim rješenjima evidentna je intencija zakonodavaca na svim nivoima u pravcu formiranja vladinih institucija za pružanje besplatne pravne pomoći, ali predviđajući ujedno i pružanje </w:t>
      </w:r>
      <w:r w:rsidR="00091D73" w:rsidRPr="001E57EA">
        <w:t xml:space="preserve">besplatne </w:t>
      </w:r>
      <w:r w:rsidRPr="001E57EA">
        <w:t>pravne pomoći i od advokata</w:t>
      </w:r>
      <w:r w:rsidRPr="001E57EA">
        <w:rPr>
          <w:rStyle w:val="FootnoteReference"/>
        </w:rPr>
        <w:footnoteReference w:id="38"/>
      </w:r>
      <w:r w:rsidRPr="001E57EA">
        <w:t xml:space="preserve">, te udruženja i fondacija koje su </w:t>
      </w:r>
      <w:r w:rsidR="005B3D01" w:rsidRPr="001E57EA">
        <w:t xml:space="preserve">registrirane </w:t>
      </w:r>
      <w:r w:rsidRPr="001E57EA">
        <w:t>za pružanje besplatne pravne pomoći.</w:t>
      </w:r>
      <w:r w:rsidR="00293880" w:rsidRPr="001E57EA">
        <w:t xml:space="preserve"> Veliki broj propisa uz</w:t>
      </w:r>
      <w:r w:rsidRPr="001E57EA">
        <w:t>r</w:t>
      </w:r>
      <w:r w:rsidR="00293880" w:rsidRPr="001E57EA">
        <w:t>o</w:t>
      </w:r>
      <w:r w:rsidRPr="001E57EA">
        <w:t xml:space="preserve">kovao je neujednačen pristup, a </w:t>
      </w:r>
      <w:r w:rsidR="00724218" w:rsidRPr="001E57EA">
        <w:t>zbog</w:t>
      </w:r>
      <w:r w:rsidRPr="001E57EA">
        <w:t xml:space="preserve"> nedostatka modela međusobne saradnje i koordinacije</w:t>
      </w:r>
      <w:r w:rsidR="005B3D01" w:rsidRPr="001E57EA">
        <w:t>,</w:t>
      </w:r>
      <w:r w:rsidRPr="001E57EA">
        <w:t xml:space="preserve"> dolazi do različitog nivoa ispunjenja standarda, osposobljenosti, kapaciteta, podrške i razmjene iskustava u ovoj oblasti. Kada je </w:t>
      </w:r>
      <w:r w:rsidR="00091D73" w:rsidRPr="001E57EA">
        <w:t xml:space="preserve">riječ o </w:t>
      </w:r>
      <w:r w:rsidRPr="001E57EA">
        <w:t>pružanj</w:t>
      </w:r>
      <w:r w:rsidR="00091D73" w:rsidRPr="001E57EA">
        <w:t>u</w:t>
      </w:r>
      <w:r w:rsidRPr="001E57EA">
        <w:t xml:space="preserve"> besplatne pravne pomoći </w:t>
      </w:r>
      <w:r w:rsidR="00091D73" w:rsidRPr="001E57EA">
        <w:t xml:space="preserve">od </w:t>
      </w:r>
      <w:r w:rsidRPr="001E57EA">
        <w:t xml:space="preserve">nevladinih organizacija, sistem finansiranja </w:t>
      </w:r>
      <w:r w:rsidR="00C570A8" w:rsidRPr="001E57EA">
        <w:t xml:space="preserve">pružaoca </w:t>
      </w:r>
      <w:r w:rsidRPr="001E57EA">
        <w:t xml:space="preserve">usluga nije predviđen u svim </w:t>
      </w:r>
      <w:r w:rsidR="005B3D01" w:rsidRPr="001E57EA">
        <w:t xml:space="preserve">kantonalnim </w:t>
      </w:r>
      <w:r w:rsidRPr="001E57EA">
        <w:t xml:space="preserve">propisima koji </w:t>
      </w:r>
      <w:r w:rsidR="007B4EB1" w:rsidRPr="001E57EA">
        <w:t xml:space="preserve">reguliraju </w:t>
      </w:r>
      <w:r w:rsidRPr="001E57EA">
        <w:t>ovu oblast</w:t>
      </w:r>
      <w:r w:rsidRPr="001E57EA">
        <w:rPr>
          <w:rStyle w:val="FootnoteReference"/>
        </w:rPr>
        <w:footnoteReference w:id="39"/>
      </w:r>
      <w:r w:rsidRPr="001E57EA">
        <w:t>. Osim navedenog</w:t>
      </w:r>
      <w:r w:rsidR="005B3D01" w:rsidRPr="001E57EA">
        <w:t>,</w:t>
      </w:r>
      <w:r w:rsidRPr="001E57EA">
        <w:t xml:space="preserve"> evidentna je i praksa općinskih službi za pružanje besplatne pravne pomoći koje uglavnom rade na pružanju primarnog nivoa usluge odnosno osiguravanja usmene pravne informacije, usmenog pravnog savjeta ili pomoći kod popunjavanja formulara. Kantonalni propisi </w:t>
      </w:r>
      <w:r w:rsidR="007B4EB1" w:rsidRPr="001E57EA">
        <w:t xml:space="preserve">reguliraju </w:t>
      </w:r>
      <w:r w:rsidRPr="001E57EA">
        <w:t>različite pravne usluge iz gotovo svih oblasti prava, ali ne uređuju pitanja specijalizirane usluge besplatne pravne pomoći za žrtve nasilja u porodici</w:t>
      </w:r>
      <w:r w:rsidR="00293880" w:rsidRPr="001E57EA">
        <w:t xml:space="preserve">. </w:t>
      </w:r>
      <w:r w:rsidRPr="001E57EA">
        <w:t xml:space="preserve">Kada </w:t>
      </w:r>
      <w:r w:rsidR="005B3D01" w:rsidRPr="001E57EA">
        <w:t>je riječ o</w:t>
      </w:r>
      <w:r w:rsidRPr="001E57EA">
        <w:t xml:space="preserve"> </w:t>
      </w:r>
      <w:r w:rsidR="005B3D01" w:rsidRPr="001E57EA">
        <w:t>nevladinim organizacijama</w:t>
      </w:r>
      <w:r w:rsidRPr="001E57EA">
        <w:t>, u pojed</w:t>
      </w:r>
      <w:r w:rsidR="00A33AEE" w:rsidRPr="001E57EA">
        <w:t>i</w:t>
      </w:r>
      <w:r w:rsidRPr="001E57EA">
        <w:t>nim lokalnim zajednicama djeluju nevladine organizacije koje osiguravaju specija</w:t>
      </w:r>
      <w:r w:rsidR="00724218" w:rsidRPr="001E57EA">
        <w:t>li</w:t>
      </w:r>
      <w:r w:rsidRPr="001E57EA">
        <w:t>zirane usluge besplatne pravne pomoći za žrtve nas</w:t>
      </w:r>
      <w:r w:rsidR="008E74F2" w:rsidRPr="001E57EA">
        <w:t>i</w:t>
      </w:r>
      <w:r w:rsidRPr="001E57EA">
        <w:t>lja u porodici</w:t>
      </w:r>
      <w:r w:rsidRPr="001E57EA">
        <w:rPr>
          <w:rStyle w:val="FootnoteReference"/>
        </w:rPr>
        <w:footnoteReference w:id="40"/>
      </w:r>
      <w:r w:rsidRPr="001E57EA">
        <w:t>. Postojećim kantonalnim propisima o besplatnoj pravnoj pomoći</w:t>
      </w:r>
      <w:r w:rsidR="005B3D01" w:rsidRPr="001E57EA">
        <w:t>,</w:t>
      </w:r>
      <w:r w:rsidRPr="001E57EA">
        <w:t xml:space="preserve"> ne postoji jedinstveno uređen postupak </w:t>
      </w:r>
      <w:r w:rsidR="00724218" w:rsidRPr="001E57EA">
        <w:t>prikupljanja i objavljivanja</w:t>
      </w:r>
      <w:r w:rsidRPr="001E57EA">
        <w:t xml:space="preserve"> podataka o broju korisnika, specifičnim problemima</w:t>
      </w:r>
      <w:r w:rsidR="00724218" w:rsidRPr="001E57EA">
        <w:t>, nedostacima u sistemu zaštite</w:t>
      </w:r>
      <w:r w:rsidRPr="001E57EA">
        <w:t xml:space="preserve"> i broju pruženih usluga. Ne postoji zbirni podatak o broju korisnika besplatne pravne pomoći na niv</w:t>
      </w:r>
      <w:r w:rsidR="00293880" w:rsidRPr="001E57EA">
        <w:t>o</w:t>
      </w:r>
      <w:r w:rsidRPr="001E57EA">
        <w:t xml:space="preserve">u Federacije </w:t>
      </w:r>
      <w:r w:rsidR="005B3D01" w:rsidRPr="001E57EA">
        <w:t>BiH</w:t>
      </w:r>
      <w:r w:rsidRPr="001E57EA">
        <w:t xml:space="preserve">, pa tako </w:t>
      </w:r>
      <w:r w:rsidR="005B3D01" w:rsidRPr="001E57EA">
        <w:t xml:space="preserve">ni </w:t>
      </w:r>
      <w:r w:rsidRPr="001E57EA">
        <w:t>i o broju žrtava nasilja u porodici koje su koristile usluge besplatne pravne pomoći</w:t>
      </w:r>
      <w:r w:rsidR="005B3D01" w:rsidRPr="001E57EA">
        <w:t xml:space="preserve"> </w:t>
      </w:r>
      <w:r w:rsidRPr="001E57EA">
        <w:t xml:space="preserve">i ishodu njihovih predmeta u pogledu ostvarenih prava i zaštićenih interesa. </w:t>
      </w:r>
      <w:r w:rsidR="007B4EB1" w:rsidRPr="001E57EA">
        <w:t xml:space="preserve">U vezi s tim, </w:t>
      </w:r>
      <w:r w:rsidRPr="001E57EA">
        <w:t>ne postoji niti mogućnost procjene za p</w:t>
      </w:r>
      <w:r w:rsidR="00724218" w:rsidRPr="001E57EA">
        <w:t>re</w:t>
      </w:r>
      <w:r w:rsidRPr="001E57EA">
        <w:t>duzimanje adekvatnih mjera radi unapređenja besplatne pravne pomoći na općem planu u odnosu na zaštitu prava i interesa žrtava nasilja u porodici.</w:t>
      </w:r>
    </w:p>
    <w:p w:rsidR="008D357E" w:rsidRPr="001E57EA" w:rsidRDefault="008D357E" w:rsidP="008066CA">
      <w:pPr>
        <w:pStyle w:val="4naslov"/>
        <w:rPr>
          <w:rFonts w:cs="Arial"/>
          <w:lang w:val="bs-Latn-BA"/>
        </w:rPr>
      </w:pPr>
      <w:bookmarkStart w:id="14" w:name="_Toc145323810"/>
      <w:r w:rsidRPr="001E57EA">
        <w:rPr>
          <w:rFonts w:cs="Arial"/>
          <w:lang w:val="bs-Latn-BA"/>
        </w:rPr>
        <w:t>Sigurne kuće</w:t>
      </w:r>
      <w:bookmarkEnd w:id="14"/>
    </w:p>
    <w:p w:rsidR="008D357E" w:rsidRPr="001E57EA" w:rsidRDefault="00C31CB3" w:rsidP="00BF3ED5">
      <w:pPr>
        <w:pStyle w:val="TekstStrategija"/>
      </w:pPr>
      <w:r w:rsidRPr="001E57EA">
        <w:t>Član</w:t>
      </w:r>
      <w:r w:rsidR="008D357E" w:rsidRPr="001E57EA">
        <w:t xml:space="preserve"> 23. </w:t>
      </w:r>
      <w:r w:rsidR="005B3D01" w:rsidRPr="001E57EA">
        <w:t xml:space="preserve">Konvencije </w:t>
      </w:r>
      <w:r w:rsidR="00976CA0" w:rsidRPr="001E57EA">
        <w:t>Vijeća Evrope o sprečavanju i borbi protiv nasilja nad ženama i nasilja u porodici</w:t>
      </w:r>
      <w:r w:rsidR="00921AC6" w:rsidRPr="001E57EA">
        <w:t xml:space="preserve"> </w:t>
      </w:r>
      <w:r w:rsidR="00976CA0" w:rsidRPr="001E57EA">
        <w:t>-</w:t>
      </w:r>
      <w:r w:rsidR="00921AC6" w:rsidRPr="001E57EA">
        <w:t xml:space="preserve"> </w:t>
      </w:r>
      <w:r w:rsidR="00976CA0" w:rsidRPr="001E57EA">
        <w:t>Istanbulska konvencija</w:t>
      </w:r>
      <w:r w:rsidR="00976CA0" w:rsidRPr="001E57EA">
        <w:rPr>
          <w:rStyle w:val="FootnoteReference"/>
        </w:rPr>
        <w:footnoteReference w:id="41"/>
      </w:r>
      <w:r w:rsidR="00976CA0" w:rsidRPr="001E57EA">
        <w:t xml:space="preserve"> </w:t>
      </w:r>
      <w:r w:rsidR="008D357E" w:rsidRPr="001E57EA">
        <w:t xml:space="preserve">obavezuje države članice da će preduzeti sve neophodne zakonodavne i druge mjere kako bi omogućile otvaranje </w:t>
      </w:r>
      <w:r w:rsidR="008D357E" w:rsidRPr="001E57EA">
        <w:lastRenderedPageBreak/>
        <w:t>odgovarajućih, lako dostupnih sigurnih kuća u dovoljnom broju za siguran smještaj i proaktivnu pomoć žrtvama nasilja, posebno ženama i njihovoj djeci. U Bosni i Hercegovini trenutno postoji osam sigurnih kuća koje djeluju unutar nevladinih organizacija, sa smještajnim kapacitetima 179 kreveta</w:t>
      </w:r>
      <w:r w:rsidR="00517C8B" w:rsidRPr="001E57EA">
        <w:t xml:space="preserve">, od toga na području Federacije Bosne i Hercegovine pet sigurnih kuća sa ukupno </w:t>
      </w:r>
      <w:r w:rsidR="005B3D01" w:rsidRPr="001E57EA">
        <w:t xml:space="preserve">126 </w:t>
      </w:r>
      <w:r w:rsidR="00517C8B" w:rsidRPr="001E57EA">
        <w:t>raspoloživih kreveta</w:t>
      </w:r>
      <w:r w:rsidR="00517C8B" w:rsidRPr="001E57EA">
        <w:rPr>
          <w:rStyle w:val="FootnoteReference"/>
        </w:rPr>
        <w:footnoteReference w:id="42"/>
      </w:r>
      <w:r w:rsidR="00517C8B" w:rsidRPr="001E57EA">
        <w:t>. S obzirom na standard Vijeća Evrope o jednom porodičnom mjestu na 10.000 stanovnika (porodično mjesto je majka sa prosječnim brojem djece što je prema popisu stanovništva za Federaciju BiH 2,7) u odnosu na broj stanovnika u Federaciji BiH</w:t>
      </w:r>
      <w:r w:rsidR="005B3D01" w:rsidRPr="001E57EA">
        <w:t>,</w:t>
      </w:r>
      <w:r w:rsidR="00517C8B" w:rsidRPr="001E57EA">
        <w:t xml:space="preserve"> prema Popisu</w:t>
      </w:r>
      <w:r w:rsidR="00921AC6" w:rsidRPr="001E57EA">
        <w:t xml:space="preserve"> </w:t>
      </w:r>
      <w:r w:rsidR="00517C8B" w:rsidRPr="001E57EA">
        <w:t>stanovništva iz 2013. godine koji iznosi 2.219.220</w:t>
      </w:r>
      <w:r w:rsidR="005B3D01" w:rsidRPr="001E57EA">
        <w:t>,</w:t>
      </w:r>
      <w:r w:rsidR="00517C8B" w:rsidRPr="001E57EA">
        <w:t xml:space="preserve"> vidljivo je da su standardi trenutno nedostižni, a u slučaju Bosne i Hercegovine i nerealni. Također, drugi problem je i geografska raspoređenost sigurnih kuća.</w:t>
      </w:r>
    </w:p>
    <w:p w:rsidR="006B66F0" w:rsidRPr="001E57EA" w:rsidRDefault="001578A5" w:rsidP="001578A5">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3</w:t>
      </w:r>
      <w:r w:rsidRPr="001E57EA">
        <w:fldChar w:fldCharType="end"/>
      </w:r>
      <w:r w:rsidRPr="001E57EA">
        <w:t>: Broj žrtava nasilja u porodici smještenih u sigurne kuće</w:t>
      </w:r>
      <w:r w:rsidR="000559FC" w:rsidRPr="001E57E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2845"/>
        <w:gridCol w:w="453"/>
        <w:gridCol w:w="453"/>
        <w:gridCol w:w="453"/>
        <w:gridCol w:w="453"/>
        <w:gridCol w:w="465"/>
        <w:gridCol w:w="465"/>
        <w:gridCol w:w="465"/>
        <w:gridCol w:w="469"/>
        <w:gridCol w:w="420"/>
        <w:gridCol w:w="420"/>
        <w:gridCol w:w="420"/>
        <w:gridCol w:w="420"/>
      </w:tblGrid>
      <w:tr w:rsidR="001E57EA" w:rsidRPr="001E57EA" w:rsidTr="0090613F">
        <w:trPr>
          <w:trHeight w:val="135"/>
        </w:trPr>
        <w:tc>
          <w:tcPr>
            <w:tcW w:w="452" w:type="pct"/>
            <w:vMerge w:val="restart"/>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Redni broj</w:t>
            </w:r>
          </w:p>
        </w:tc>
        <w:tc>
          <w:tcPr>
            <w:tcW w:w="1578" w:type="pct"/>
            <w:vMerge w:val="restart"/>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Naziv sigurne kuće</w:t>
            </w:r>
          </w:p>
        </w:tc>
        <w:tc>
          <w:tcPr>
            <w:tcW w:w="1003" w:type="pct"/>
            <w:gridSpan w:val="4"/>
            <w:tcBorders>
              <w:left w:val="single" w:sz="18" w:space="0" w:color="auto"/>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Broj žena žrtava nasilja</w:t>
            </w:r>
          </w:p>
        </w:tc>
        <w:tc>
          <w:tcPr>
            <w:tcW w:w="1034" w:type="pct"/>
            <w:gridSpan w:val="4"/>
            <w:tcBorders>
              <w:left w:val="single" w:sz="18" w:space="0" w:color="auto"/>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BA"/>
              </w:rPr>
              <w:t>Broj djece žrtava nasilja</w:t>
            </w:r>
          </w:p>
        </w:tc>
        <w:tc>
          <w:tcPr>
            <w:tcW w:w="934" w:type="pct"/>
            <w:gridSpan w:val="4"/>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Ukupno žrtava nasilja</w:t>
            </w:r>
          </w:p>
        </w:tc>
      </w:tr>
      <w:tr w:rsidR="001E57EA" w:rsidRPr="001E57EA" w:rsidTr="0090613F">
        <w:trPr>
          <w:trHeight w:val="134"/>
        </w:trPr>
        <w:tc>
          <w:tcPr>
            <w:tcW w:w="452" w:type="pct"/>
            <w:vMerge/>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p>
        </w:tc>
        <w:tc>
          <w:tcPr>
            <w:tcW w:w="1578" w:type="pct"/>
            <w:vMerge/>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p>
        </w:tc>
        <w:tc>
          <w:tcPr>
            <w:tcW w:w="251"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2019.</w:t>
            </w:r>
          </w:p>
        </w:tc>
        <w:tc>
          <w:tcPr>
            <w:tcW w:w="251" w:type="pct"/>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2020.</w:t>
            </w:r>
          </w:p>
        </w:tc>
        <w:tc>
          <w:tcPr>
            <w:tcW w:w="251" w:type="pct"/>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2021.</w:t>
            </w:r>
          </w:p>
        </w:tc>
        <w:tc>
          <w:tcPr>
            <w:tcW w:w="251" w:type="pct"/>
            <w:tcBorders>
              <w:right w:val="single" w:sz="18" w:space="0" w:color="auto"/>
            </w:tcBorders>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2022.</w:t>
            </w:r>
          </w:p>
        </w:tc>
        <w:tc>
          <w:tcPr>
            <w:tcW w:w="258"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2019.</w:t>
            </w:r>
          </w:p>
        </w:tc>
        <w:tc>
          <w:tcPr>
            <w:tcW w:w="258" w:type="pct"/>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2020.</w:t>
            </w:r>
          </w:p>
        </w:tc>
        <w:tc>
          <w:tcPr>
            <w:tcW w:w="258" w:type="pct"/>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2021.</w:t>
            </w:r>
          </w:p>
        </w:tc>
        <w:tc>
          <w:tcPr>
            <w:tcW w:w="258" w:type="pct"/>
            <w:tcBorders>
              <w:right w:val="single" w:sz="18" w:space="0" w:color="auto"/>
            </w:tcBorders>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2022.</w:t>
            </w:r>
          </w:p>
        </w:tc>
        <w:tc>
          <w:tcPr>
            <w:tcW w:w="233"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2019.</w:t>
            </w:r>
          </w:p>
        </w:tc>
        <w:tc>
          <w:tcPr>
            <w:tcW w:w="233" w:type="pct"/>
            <w:shd w:val="clear" w:color="auto" w:fill="auto"/>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2020.</w:t>
            </w:r>
          </w:p>
        </w:tc>
        <w:tc>
          <w:tcPr>
            <w:tcW w:w="233" w:type="pct"/>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2021.</w:t>
            </w:r>
          </w:p>
        </w:tc>
        <w:tc>
          <w:tcPr>
            <w:tcW w:w="233" w:type="pct"/>
            <w:vAlign w:val="center"/>
          </w:tcPr>
          <w:p w:rsidR="00542B66" w:rsidRPr="001E57EA" w:rsidRDefault="00542B66" w:rsidP="0090613F">
            <w:pPr>
              <w:spacing w:after="0"/>
              <w:jc w:val="center"/>
              <w:rPr>
                <w:rFonts w:ascii="Arial" w:eastAsia="Times New Roman" w:hAnsi="Arial"/>
                <w:b/>
                <w:sz w:val="14"/>
                <w:szCs w:val="14"/>
                <w:lang w:val="hr-BA"/>
              </w:rPr>
            </w:pPr>
            <w:r w:rsidRPr="001E57EA">
              <w:rPr>
                <w:rFonts w:ascii="Arial" w:eastAsia="Times New Roman" w:hAnsi="Arial"/>
                <w:b/>
                <w:sz w:val="14"/>
                <w:szCs w:val="14"/>
                <w:lang w:val="hr-BA"/>
              </w:rPr>
              <w:t>2022.</w:t>
            </w:r>
          </w:p>
        </w:tc>
      </w:tr>
      <w:tr w:rsidR="001E57EA" w:rsidRPr="001E57EA" w:rsidTr="0090613F">
        <w:trPr>
          <w:trHeight w:val="276"/>
        </w:trPr>
        <w:tc>
          <w:tcPr>
            <w:tcW w:w="452"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w:t>
            </w:r>
          </w:p>
        </w:tc>
        <w:tc>
          <w:tcPr>
            <w:tcW w:w="1578" w:type="pct"/>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Udruženje „Žene sa Une“ Bihać</w:t>
            </w:r>
          </w:p>
        </w:tc>
        <w:tc>
          <w:tcPr>
            <w:tcW w:w="251"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14</w:t>
            </w:r>
          </w:p>
        </w:tc>
        <w:tc>
          <w:tcPr>
            <w:tcW w:w="251"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23</w:t>
            </w:r>
          </w:p>
        </w:tc>
        <w:tc>
          <w:tcPr>
            <w:tcW w:w="251"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30</w:t>
            </w:r>
          </w:p>
        </w:tc>
        <w:tc>
          <w:tcPr>
            <w:tcW w:w="251"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20</w:t>
            </w:r>
          </w:p>
        </w:tc>
        <w:tc>
          <w:tcPr>
            <w:tcW w:w="258"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26</w:t>
            </w:r>
          </w:p>
        </w:tc>
        <w:tc>
          <w:tcPr>
            <w:tcW w:w="258"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52</w:t>
            </w:r>
          </w:p>
        </w:tc>
        <w:tc>
          <w:tcPr>
            <w:tcW w:w="258"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56</w:t>
            </w:r>
          </w:p>
        </w:tc>
        <w:tc>
          <w:tcPr>
            <w:tcW w:w="258"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52</w:t>
            </w:r>
          </w:p>
        </w:tc>
        <w:tc>
          <w:tcPr>
            <w:tcW w:w="233"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40</w:t>
            </w:r>
          </w:p>
        </w:tc>
        <w:tc>
          <w:tcPr>
            <w:tcW w:w="233"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75</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86</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72</w:t>
            </w:r>
          </w:p>
        </w:tc>
      </w:tr>
      <w:tr w:rsidR="001E57EA" w:rsidRPr="001E57EA" w:rsidTr="0090613F">
        <w:trPr>
          <w:trHeight w:val="276"/>
        </w:trPr>
        <w:tc>
          <w:tcPr>
            <w:tcW w:w="452"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w:t>
            </w:r>
          </w:p>
        </w:tc>
        <w:tc>
          <w:tcPr>
            <w:tcW w:w="1578" w:type="pct"/>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Udruženje građana „Vive žene“ Tuzla</w:t>
            </w:r>
          </w:p>
        </w:tc>
        <w:tc>
          <w:tcPr>
            <w:tcW w:w="251"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42</w:t>
            </w:r>
          </w:p>
        </w:tc>
        <w:tc>
          <w:tcPr>
            <w:tcW w:w="251"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40</w:t>
            </w:r>
          </w:p>
        </w:tc>
        <w:tc>
          <w:tcPr>
            <w:tcW w:w="251"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39</w:t>
            </w:r>
          </w:p>
        </w:tc>
        <w:tc>
          <w:tcPr>
            <w:tcW w:w="251"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36</w:t>
            </w:r>
          </w:p>
        </w:tc>
        <w:tc>
          <w:tcPr>
            <w:tcW w:w="258"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26</w:t>
            </w:r>
          </w:p>
        </w:tc>
        <w:tc>
          <w:tcPr>
            <w:tcW w:w="258"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41</w:t>
            </w:r>
          </w:p>
        </w:tc>
        <w:tc>
          <w:tcPr>
            <w:tcW w:w="258"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46</w:t>
            </w:r>
          </w:p>
        </w:tc>
        <w:tc>
          <w:tcPr>
            <w:tcW w:w="258"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37</w:t>
            </w:r>
          </w:p>
        </w:tc>
        <w:tc>
          <w:tcPr>
            <w:tcW w:w="233"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68</w:t>
            </w:r>
          </w:p>
        </w:tc>
        <w:tc>
          <w:tcPr>
            <w:tcW w:w="233"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81</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85</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73</w:t>
            </w:r>
          </w:p>
        </w:tc>
      </w:tr>
      <w:tr w:rsidR="001E57EA" w:rsidRPr="001E57EA" w:rsidTr="0090613F">
        <w:trPr>
          <w:trHeight w:val="276"/>
        </w:trPr>
        <w:tc>
          <w:tcPr>
            <w:tcW w:w="452"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w:t>
            </w:r>
          </w:p>
        </w:tc>
        <w:tc>
          <w:tcPr>
            <w:tcW w:w="1578" w:type="pct"/>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Udruženje „Medica“ Zenica</w:t>
            </w:r>
          </w:p>
        </w:tc>
        <w:tc>
          <w:tcPr>
            <w:tcW w:w="251"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24</w:t>
            </w:r>
          </w:p>
        </w:tc>
        <w:tc>
          <w:tcPr>
            <w:tcW w:w="251"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18</w:t>
            </w:r>
          </w:p>
        </w:tc>
        <w:tc>
          <w:tcPr>
            <w:tcW w:w="251"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18</w:t>
            </w:r>
          </w:p>
        </w:tc>
        <w:tc>
          <w:tcPr>
            <w:tcW w:w="251"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15</w:t>
            </w:r>
          </w:p>
        </w:tc>
        <w:tc>
          <w:tcPr>
            <w:tcW w:w="258"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37</w:t>
            </w:r>
          </w:p>
        </w:tc>
        <w:tc>
          <w:tcPr>
            <w:tcW w:w="258"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25</w:t>
            </w:r>
          </w:p>
        </w:tc>
        <w:tc>
          <w:tcPr>
            <w:tcW w:w="258"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51</w:t>
            </w:r>
          </w:p>
        </w:tc>
        <w:tc>
          <w:tcPr>
            <w:tcW w:w="258"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34</w:t>
            </w:r>
          </w:p>
        </w:tc>
        <w:tc>
          <w:tcPr>
            <w:tcW w:w="233"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61</w:t>
            </w:r>
          </w:p>
        </w:tc>
        <w:tc>
          <w:tcPr>
            <w:tcW w:w="233"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43</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69</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49</w:t>
            </w:r>
          </w:p>
        </w:tc>
      </w:tr>
      <w:tr w:rsidR="001E57EA" w:rsidRPr="001E57EA" w:rsidTr="0090613F">
        <w:trPr>
          <w:trHeight w:val="276"/>
        </w:trPr>
        <w:tc>
          <w:tcPr>
            <w:tcW w:w="452"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w:t>
            </w:r>
          </w:p>
        </w:tc>
        <w:tc>
          <w:tcPr>
            <w:tcW w:w="1578" w:type="pct"/>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Fondacija lokalne demokratije Sarajevo</w:t>
            </w:r>
          </w:p>
        </w:tc>
        <w:tc>
          <w:tcPr>
            <w:tcW w:w="251"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45</w:t>
            </w:r>
          </w:p>
        </w:tc>
        <w:tc>
          <w:tcPr>
            <w:tcW w:w="251"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24</w:t>
            </w:r>
          </w:p>
        </w:tc>
        <w:tc>
          <w:tcPr>
            <w:tcW w:w="251"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42</w:t>
            </w:r>
          </w:p>
        </w:tc>
        <w:tc>
          <w:tcPr>
            <w:tcW w:w="251"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44</w:t>
            </w:r>
          </w:p>
        </w:tc>
        <w:tc>
          <w:tcPr>
            <w:tcW w:w="258"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67</w:t>
            </w:r>
          </w:p>
        </w:tc>
        <w:tc>
          <w:tcPr>
            <w:tcW w:w="258"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31</w:t>
            </w:r>
          </w:p>
        </w:tc>
        <w:tc>
          <w:tcPr>
            <w:tcW w:w="258"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67</w:t>
            </w:r>
          </w:p>
        </w:tc>
        <w:tc>
          <w:tcPr>
            <w:tcW w:w="258"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37</w:t>
            </w:r>
          </w:p>
        </w:tc>
        <w:tc>
          <w:tcPr>
            <w:tcW w:w="233"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112</w:t>
            </w:r>
          </w:p>
        </w:tc>
        <w:tc>
          <w:tcPr>
            <w:tcW w:w="233"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55</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109</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81</w:t>
            </w:r>
          </w:p>
        </w:tc>
      </w:tr>
      <w:tr w:rsidR="001E57EA" w:rsidRPr="001E57EA" w:rsidTr="0090613F">
        <w:trPr>
          <w:trHeight w:val="276"/>
        </w:trPr>
        <w:tc>
          <w:tcPr>
            <w:tcW w:w="452"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5.</w:t>
            </w:r>
          </w:p>
        </w:tc>
        <w:tc>
          <w:tcPr>
            <w:tcW w:w="1578" w:type="pct"/>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Udruženje „Žena BiH“ Mostar</w:t>
            </w:r>
          </w:p>
        </w:tc>
        <w:tc>
          <w:tcPr>
            <w:tcW w:w="251"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8</w:t>
            </w:r>
          </w:p>
        </w:tc>
        <w:tc>
          <w:tcPr>
            <w:tcW w:w="251"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9</w:t>
            </w:r>
          </w:p>
        </w:tc>
        <w:tc>
          <w:tcPr>
            <w:tcW w:w="251"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12</w:t>
            </w:r>
          </w:p>
        </w:tc>
        <w:tc>
          <w:tcPr>
            <w:tcW w:w="251"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10</w:t>
            </w:r>
          </w:p>
        </w:tc>
        <w:tc>
          <w:tcPr>
            <w:tcW w:w="258"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9</w:t>
            </w:r>
          </w:p>
        </w:tc>
        <w:tc>
          <w:tcPr>
            <w:tcW w:w="258"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7</w:t>
            </w:r>
          </w:p>
        </w:tc>
        <w:tc>
          <w:tcPr>
            <w:tcW w:w="258"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20</w:t>
            </w:r>
          </w:p>
        </w:tc>
        <w:tc>
          <w:tcPr>
            <w:tcW w:w="258" w:type="pct"/>
            <w:tcBorders>
              <w:right w:val="single" w:sz="18" w:space="0" w:color="auto"/>
            </w:tcBorders>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5</w:t>
            </w:r>
          </w:p>
        </w:tc>
        <w:tc>
          <w:tcPr>
            <w:tcW w:w="233"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17</w:t>
            </w:r>
          </w:p>
        </w:tc>
        <w:tc>
          <w:tcPr>
            <w:tcW w:w="233" w:type="pct"/>
            <w:shd w:val="clear" w:color="auto" w:fill="auto"/>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16</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32</w:t>
            </w:r>
          </w:p>
        </w:tc>
        <w:tc>
          <w:tcPr>
            <w:tcW w:w="233" w:type="pct"/>
            <w:vAlign w:val="center"/>
          </w:tcPr>
          <w:p w:rsidR="00542B66" w:rsidRPr="001E57EA" w:rsidRDefault="00542B66" w:rsidP="0090613F">
            <w:pPr>
              <w:spacing w:after="0"/>
              <w:jc w:val="center"/>
              <w:rPr>
                <w:rFonts w:ascii="Arial" w:eastAsia="Times New Roman" w:hAnsi="Arial"/>
                <w:sz w:val="14"/>
                <w:szCs w:val="14"/>
                <w:lang w:val="hr-HR"/>
              </w:rPr>
            </w:pPr>
            <w:r w:rsidRPr="001E57EA">
              <w:rPr>
                <w:rFonts w:ascii="Arial" w:eastAsia="Times New Roman" w:hAnsi="Arial"/>
                <w:sz w:val="14"/>
                <w:szCs w:val="14"/>
                <w:lang w:val="hr-HR"/>
              </w:rPr>
              <w:t>15</w:t>
            </w:r>
          </w:p>
        </w:tc>
      </w:tr>
      <w:tr w:rsidR="001E57EA" w:rsidRPr="001E57EA" w:rsidTr="0090613F">
        <w:trPr>
          <w:trHeight w:val="276"/>
        </w:trPr>
        <w:tc>
          <w:tcPr>
            <w:tcW w:w="452" w:type="pct"/>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p>
        </w:tc>
        <w:tc>
          <w:tcPr>
            <w:tcW w:w="1578" w:type="pct"/>
            <w:tcBorders>
              <w:righ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UKUPNO:</w:t>
            </w:r>
          </w:p>
        </w:tc>
        <w:tc>
          <w:tcPr>
            <w:tcW w:w="251"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118</w:t>
            </w:r>
          </w:p>
        </w:tc>
        <w:tc>
          <w:tcPr>
            <w:tcW w:w="251" w:type="pct"/>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114</w:t>
            </w:r>
          </w:p>
        </w:tc>
        <w:tc>
          <w:tcPr>
            <w:tcW w:w="251" w:type="pct"/>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141</w:t>
            </w:r>
          </w:p>
        </w:tc>
        <w:tc>
          <w:tcPr>
            <w:tcW w:w="251" w:type="pct"/>
            <w:tcBorders>
              <w:right w:val="single" w:sz="18" w:space="0" w:color="auto"/>
            </w:tcBorders>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125</w:t>
            </w:r>
          </w:p>
        </w:tc>
        <w:tc>
          <w:tcPr>
            <w:tcW w:w="258"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146</w:t>
            </w:r>
          </w:p>
        </w:tc>
        <w:tc>
          <w:tcPr>
            <w:tcW w:w="258" w:type="pct"/>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156</w:t>
            </w:r>
          </w:p>
        </w:tc>
        <w:tc>
          <w:tcPr>
            <w:tcW w:w="258" w:type="pct"/>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240</w:t>
            </w:r>
          </w:p>
        </w:tc>
        <w:tc>
          <w:tcPr>
            <w:tcW w:w="258" w:type="pct"/>
            <w:tcBorders>
              <w:right w:val="single" w:sz="18" w:space="0" w:color="auto"/>
            </w:tcBorders>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165</w:t>
            </w:r>
          </w:p>
        </w:tc>
        <w:tc>
          <w:tcPr>
            <w:tcW w:w="233" w:type="pct"/>
            <w:tcBorders>
              <w:left w:val="single" w:sz="18" w:space="0" w:color="auto"/>
            </w:tcBorders>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298</w:t>
            </w:r>
          </w:p>
        </w:tc>
        <w:tc>
          <w:tcPr>
            <w:tcW w:w="233" w:type="pct"/>
            <w:shd w:val="clear" w:color="auto" w:fill="auto"/>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270</w:t>
            </w:r>
          </w:p>
        </w:tc>
        <w:tc>
          <w:tcPr>
            <w:tcW w:w="233" w:type="pct"/>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381</w:t>
            </w:r>
          </w:p>
        </w:tc>
        <w:tc>
          <w:tcPr>
            <w:tcW w:w="233" w:type="pct"/>
            <w:vAlign w:val="center"/>
          </w:tcPr>
          <w:p w:rsidR="00542B66" w:rsidRPr="001E57EA" w:rsidRDefault="00542B66" w:rsidP="0090613F">
            <w:pPr>
              <w:spacing w:after="0"/>
              <w:jc w:val="center"/>
              <w:rPr>
                <w:rFonts w:ascii="Arial" w:eastAsia="Times New Roman" w:hAnsi="Arial"/>
                <w:b/>
                <w:sz w:val="14"/>
                <w:szCs w:val="14"/>
                <w:lang w:val="hr-HR"/>
              </w:rPr>
            </w:pPr>
            <w:r w:rsidRPr="001E57EA">
              <w:rPr>
                <w:rFonts w:ascii="Arial" w:eastAsia="Times New Roman" w:hAnsi="Arial"/>
                <w:b/>
                <w:sz w:val="14"/>
                <w:szCs w:val="14"/>
                <w:lang w:val="hr-HR"/>
              </w:rPr>
              <w:t>290</w:t>
            </w:r>
          </w:p>
        </w:tc>
      </w:tr>
    </w:tbl>
    <w:p w:rsidR="000559FC" w:rsidRPr="001E57EA" w:rsidRDefault="000559FC" w:rsidP="00BF3ED5">
      <w:pPr>
        <w:pStyle w:val="Napomena"/>
      </w:pPr>
      <w:r w:rsidRPr="001E57EA">
        <w:t>* Izvor podataka: Federalno ministarstvo rada i socijalne politike</w:t>
      </w:r>
    </w:p>
    <w:p w:rsidR="00BE1623" w:rsidRPr="001E57EA" w:rsidRDefault="00BE1623" w:rsidP="00BF3ED5">
      <w:pPr>
        <w:pStyle w:val="TekstStrategija"/>
      </w:pPr>
    </w:p>
    <w:p w:rsidR="00532F1E" w:rsidRPr="001E57EA" w:rsidRDefault="00A62CBB" w:rsidP="009A623D">
      <w:pPr>
        <w:pStyle w:val="TekstStrategija"/>
      </w:pPr>
      <w:r w:rsidRPr="001E57EA">
        <w:t xml:space="preserve">Pravni status sigurnih kuća nije u potpunosti </w:t>
      </w:r>
      <w:r w:rsidR="00064FB0" w:rsidRPr="001E57EA">
        <w:t xml:space="preserve">definiran </w:t>
      </w:r>
      <w:r w:rsidRPr="001E57EA">
        <w:t xml:space="preserve">unutar </w:t>
      </w:r>
      <w:r w:rsidR="00BE1623" w:rsidRPr="001E57EA">
        <w:t>zakonskog</w:t>
      </w:r>
      <w:r w:rsidRPr="001E57EA">
        <w:t xml:space="preserve"> okvira</w:t>
      </w:r>
      <w:r w:rsidR="00BE1623" w:rsidRPr="001E57EA">
        <w:t>. Navedeno je prou</w:t>
      </w:r>
      <w:r w:rsidR="00013E15" w:rsidRPr="001E57EA">
        <w:t>z</w:t>
      </w:r>
      <w:r w:rsidR="00BE1623" w:rsidRPr="001E57EA">
        <w:t>rokovalo određene finansijske poteškoće u radu sigurnih kuća, što je problematika koja se prioritetno mora riješiti</w:t>
      </w:r>
      <w:r w:rsidRPr="001E57EA">
        <w:t xml:space="preserve">. </w:t>
      </w:r>
      <w:r w:rsidR="00AE6C42" w:rsidRPr="001E57EA">
        <w:t xml:space="preserve">Federalno ministarstvo rada i socijalne politike godišnje osigurava </w:t>
      </w:r>
      <w:r w:rsidR="002061DA" w:rsidRPr="001E57EA">
        <w:t>finansijska sredstva</w:t>
      </w:r>
      <w:r w:rsidR="00AE6C42" w:rsidRPr="001E57EA">
        <w:t xml:space="preserve"> za zaštit</w:t>
      </w:r>
      <w:r w:rsidR="00CC01AB" w:rsidRPr="001E57EA">
        <w:t>u</w:t>
      </w:r>
      <w:r w:rsidR="00AE6C42" w:rsidRPr="001E57EA">
        <w:t xml:space="preserve"> i zbrinjavanje žrtava nasilja u porodici u sigurnim kućama</w:t>
      </w:r>
      <w:r w:rsidR="005B3D01" w:rsidRPr="001E57EA">
        <w:t>,</w:t>
      </w:r>
      <w:r w:rsidR="00AE6C42" w:rsidRPr="001E57EA">
        <w:t xml:space="preserve"> kroz sufinansiranje troškova smještaja za </w:t>
      </w:r>
      <w:r w:rsidR="005B3D01" w:rsidRPr="001E57EA">
        <w:t xml:space="preserve">žrtve </w:t>
      </w:r>
      <w:r w:rsidR="00AE6C42" w:rsidRPr="001E57EA">
        <w:t xml:space="preserve">nasilja u porodici upućenih u sigurnu kuću. Sredstva se dodjeljuju </w:t>
      </w:r>
      <w:r w:rsidR="00CC01AB" w:rsidRPr="001E57EA">
        <w:t>kroz Tekući transfer neprofitnim organizacijama – Provedba Zakona o zaštiti od nasilja</w:t>
      </w:r>
      <w:r w:rsidR="00013E15" w:rsidRPr="001E57EA">
        <w:t xml:space="preserve"> u porodici</w:t>
      </w:r>
      <w:r w:rsidR="00CC01AB" w:rsidRPr="001E57EA">
        <w:t xml:space="preserve"> na osnovu </w:t>
      </w:r>
      <w:r w:rsidR="00AE6C42" w:rsidRPr="001E57EA">
        <w:t>Javnog poziva za raspodjelu sredstava za udruženja/fondacije koje pružaju privremeni smještaj žrtvama nasilja u porodici</w:t>
      </w:r>
      <w:r w:rsidR="00CC01AB" w:rsidRPr="001E57EA">
        <w:rPr>
          <w:rStyle w:val="FootnoteReference"/>
        </w:rPr>
        <w:footnoteReference w:id="43"/>
      </w:r>
      <w:r w:rsidR="00AE6C42" w:rsidRPr="001E57EA">
        <w:t xml:space="preserve">, </w:t>
      </w:r>
      <w:r w:rsidR="00CC01AB" w:rsidRPr="001E57EA">
        <w:t xml:space="preserve">a </w:t>
      </w:r>
      <w:r w:rsidR="00AE6C42" w:rsidRPr="001E57EA">
        <w:t xml:space="preserve">koje su aplicirale na </w:t>
      </w:r>
      <w:r w:rsidR="007B4EB1" w:rsidRPr="001E57EA">
        <w:t>Javni poziv</w:t>
      </w:r>
      <w:r w:rsidR="00013E15" w:rsidRPr="001E57EA">
        <w:t>, kako je vidljivo iz T</w:t>
      </w:r>
      <w:r w:rsidR="00CC01AB" w:rsidRPr="001E57EA">
        <w:t>abele</w:t>
      </w:r>
      <w:r w:rsidR="00013E15" w:rsidRPr="001E57EA">
        <w:t xml:space="preserve"> 4</w:t>
      </w:r>
      <w:r w:rsidR="00CC01AB" w:rsidRPr="001E57EA">
        <w:t>.</w:t>
      </w:r>
    </w:p>
    <w:p w:rsidR="00CC01AB" w:rsidRPr="001E57EA" w:rsidRDefault="00CC01AB" w:rsidP="00CC01AB">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4</w:t>
      </w:r>
      <w:r w:rsidRPr="001E57EA">
        <w:fldChar w:fldCharType="end"/>
      </w:r>
      <w:r w:rsidRPr="001E57EA">
        <w:t>: Sufinansiranje smještaja žrtava nasilja u porodici u sigurnim kućama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019"/>
        <w:gridCol w:w="5051"/>
      </w:tblGrid>
      <w:tr w:rsidR="001E57EA" w:rsidRPr="00F35483" w:rsidTr="00921AC6">
        <w:tc>
          <w:tcPr>
            <w:tcW w:w="525" w:type="pct"/>
            <w:shd w:val="clear" w:color="auto" w:fill="auto"/>
          </w:tcPr>
          <w:p w:rsidR="00912A8F" w:rsidRPr="001E57EA" w:rsidRDefault="00912A8F" w:rsidP="00921AC6">
            <w:pPr>
              <w:spacing w:after="0"/>
              <w:jc w:val="center"/>
              <w:rPr>
                <w:rFonts w:ascii="Arial" w:eastAsia="Times New Roman" w:hAnsi="Arial"/>
                <w:b/>
                <w:sz w:val="16"/>
                <w:szCs w:val="16"/>
                <w:lang w:val="hr-HR"/>
              </w:rPr>
            </w:pPr>
            <w:r w:rsidRPr="001E57EA">
              <w:rPr>
                <w:rFonts w:ascii="Arial" w:eastAsia="Times New Roman" w:hAnsi="Arial"/>
                <w:b/>
                <w:sz w:val="16"/>
                <w:szCs w:val="16"/>
                <w:lang w:val="hr-HR"/>
              </w:rPr>
              <w:t>Redni broj</w:t>
            </w:r>
          </w:p>
        </w:tc>
        <w:tc>
          <w:tcPr>
            <w:tcW w:w="1674" w:type="pct"/>
            <w:shd w:val="clear" w:color="auto" w:fill="auto"/>
          </w:tcPr>
          <w:p w:rsidR="00912A8F" w:rsidRPr="001E57EA" w:rsidRDefault="00912A8F" w:rsidP="00921AC6">
            <w:pPr>
              <w:spacing w:after="0"/>
              <w:jc w:val="center"/>
              <w:rPr>
                <w:rFonts w:ascii="Arial" w:eastAsia="Times New Roman" w:hAnsi="Arial"/>
                <w:b/>
                <w:sz w:val="16"/>
                <w:szCs w:val="16"/>
                <w:lang w:val="hr-HR"/>
              </w:rPr>
            </w:pPr>
            <w:r w:rsidRPr="001E57EA">
              <w:rPr>
                <w:rFonts w:ascii="Arial" w:eastAsia="Times New Roman" w:hAnsi="Arial"/>
                <w:b/>
                <w:sz w:val="16"/>
                <w:szCs w:val="16"/>
                <w:lang w:val="hr-HR"/>
              </w:rPr>
              <w:t>Naziv udruženja ili fondacije</w:t>
            </w:r>
          </w:p>
        </w:tc>
        <w:tc>
          <w:tcPr>
            <w:tcW w:w="2802" w:type="pct"/>
            <w:shd w:val="clear" w:color="auto" w:fill="auto"/>
          </w:tcPr>
          <w:p w:rsidR="00912A8F" w:rsidRPr="001E57EA" w:rsidRDefault="00912A8F" w:rsidP="00921AC6">
            <w:pPr>
              <w:spacing w:after="0"/>
              <w:jc w:val="center"/>
              <w:rPr>
                <w:rFonts w:ascii="Arial" w:eastAsia="Times New Roman" w:hAnsi="Arial"/>
                <w:b/>
                <w:sz w:val="16"/>
                <w:szCs w:val="16"/>
                <w:lang w:val="hr-HR"/>
              </w:rPr>
            </w:pPr>
            <w:r w:rsidRPr="001E57EA">
              <w:rPr>
                <w:rFonts w:ascii="Arial" w:eastAsia="Times New Roman" w:hAnsi="Arial"/>
                <w:b/>
                <w:sz w:val="16"/>
                <w:szCs w:val="16"/>
                <w:lang w:val="hr-HR"/>
              </w:rPr>
              <w:t xml:space="preserve">Dodijeljena sredstva za sufinansiranje smještaja žrtava nasilja u porodici u 2020. godini </w:t>
            </w:r>
          </w:p>
        </w:tc>
      </w:tr>
      <w:tr w:rsidR="001E57EA" w:rsidRPr="001E57EA" w:rsidTr="00921AC6">
        <w:tc>
          <w:tcPr>
            <w:tcW w:w="525"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1.</w:t>
            </w:r>
          </w:p>
        </w:tc>
        <w:tc>
          <w:tcPr>
            <w:tcW w:w="1674"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Žene sa Une</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 xml:space="preserve"> Bihać</w:t>
            </w:r>
          </w:p>
        </w:tc>
        <w:tc>
          <w:tcPr>
            <w:tcW w:w="2802" w:type="pct"/>
            <w:shd w:val="clear" w:color="auto" w:fill="auto"/>
          </w:tcPr>
          <w:p w:rsidR="00912A8F" w:rsidRPr="001E57EA" w:rsidRDefault="00912A8F" w:rsidP="00921AC6">
            <w:pPr>
              <w:spacing w:after="0" w:line="259" w:lineRule="auto"/>
              <w:jc w:val="center"/>
              <w:rPr>
                <w:rFonts w:ascii="Arial" w:eastAsia="Times New Roman" w:hAnsi="Arial"/>
                <w:sz w:val="16"/>
                <w:szCs w:val="16"/>
              </w:rPr>
            </w:pPr>
            <w:r w:rsidRPr="001E57EA">
              <w:rPr>
                <w:rFonts w:ascii="Arial" w:eastAsia="Times New Roman" w:hAnsi="Arial"/>
                <w:sz w:val="16"/>
                <w:szCs w:val="16"/>
              </w:rPr>
              <w:t>52.691,57</w:t>
            </w:r>
          </w:p>
        </w:tc>
      </w:tr>
      <w:tr w:rsidR="001E57EA" w:rsidRPr="001E57EA" w:rsidTr="00921AC6">
        <w:tc>
          <w:tcPr>
            <w:tcW w:w="525"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2.</w:t>
            </w:r>
          </w:p>
        </w:tc>
        <w:tc>
          <w:tcPr>
            <w:tcW w:w="1674"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građana </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Vive žene</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 xml:space="preserve"> Tuzla </w:t>
            </w:r>
          </w:p>
        </w:tc>
        <w:tc>
          <w:tcPr>
            <w:tcW w:w="2802" w:type="pct"/>
            <w:shd w:val="clear" w:color="auto" w:fill="auto"/>
          </w:tcPr>
          <w:p w:rsidR="00912A8F" w:rsidRPr="001E57EA" w:rsidRDefault="00912A8F" w:rsidP="00921AC6">
            <w:pPr>
              <w:spacing w:after="0" w:line="259" w:lineRule="auto"/>
              <w:jc w:val="center"/>
              <w:rPr>
                <w:rFonts w:ascii="Arial" w:eastAsia="Times New Roman" w:hAnsi="Arial"/>
                <w:sz w:val="16"/>
                <w:szCs w:val="16"/>
              </w:rPr>
            </w:pPr>
            <w:r w:rsidRPr="001E57EA">
              <w:rPr>
                <w:rFonts w:ascii="Arial" w:eastAsia="Times New Roman" w:hAnsi="Arial"/>
                <w:sz w:val="16"/>
                <w:szCs w:val="16"/>
              </w:rPr>
              <w:t>48.083,27</w:t>
            </w:r>
          </w:p>
        </w:tc>
      </w:tr>
      <w:tr w:rsidR="001E57EA" w:rsidRPr="001E57EA" w:rsidTr="00921AC6">
        <w:tc>
          <w:tcPr>
            <w:tcW w:w="525"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3.</w:t>
            </w:r>
          </w:p>
        </w:tc>
        <w:tc>
          <w:tcPr>
            <w:tcW w:w="1674"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Medica</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 xml:space="preserve"> Zenica </w:t>
            </w:r>
          </w:p>
        </w:tc>
        <w:tc>
          <w:tcPr>
            <w:tcW w:w="2802" w:type="pct"/>
            <w:shd w:val="clear" w:color="auto" w:fill="auto"/>
          </w:tcPr>
          <w:p w:rsidR="00912A8F" w:rsidRPr="001E57EA" w:rsidRDefault="00912A8F" w:rsidP="00921AC6">
            <w:pPr>
              <w:spacing w:after="0" w:line="259" w:lineRule="auto"/>
              <w:jc w:val="center"/>
              <w:rPr>
                <w:rFonts w:ascii="Arial" w:eastAsia="Times New Roman" w:hAnsi="Arial"/>
                <w:sz w:val="16"/>
                <w:szCs w:val="16"/>
              </w:rPr>
            </w:pPr>
            <w:r w:rsidRPr="001E57EA">
              <w:rPr>
                <w:rFonts w:ascii="Arial" w:eastAsia="Times New Roman" w:hAnsi="Arial"/>
                <w:sz w:val="16"/>
                <w:szCs w:val="16"/>
              </w:rPr>
              <w:t>60.264,53</w:t>
            </w:r>
          </w:p>
        </w:tc>
      </w:tr>
      <w:tr w:rsidR="001E57EA" w:rsidRPr="001E57EA" w:rsidTr="00921AC6">
        <w:tc>
          <w:tcPr>
            <w:tcW w:w="525"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4.</w:t>
            </w:r>
          </w:p>
        </w:tc>
        <w:tc>
          <w:tcPr>
            <w:tcW w:w="1674"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Fondacija lokalne demokratije Sarajevo </w:t>
            </w:r>
          </w:p>
        </w:tc>
        <w:tc>
          <w:tcPr>
            <w:tcW w:w="2802" w:type="pct"/>
            <w:shd w:val="clear" w:color="auto" w:fill="auto"/>
          </w:tcPr>
          <w:p w:rsidR="00912A8F" w:rsidRPr="001E57EA" w:rsidRDefault="00912A8F" w:rsidP="00921AC6">
            <w:pPr>
              <w:spacing w:after="0" w:line="259" w:lineRule="auto"/>
              <w:jc w:val="center"/>
              <w:rPr>
                <w:rFonts w:ascii="Arial" w:eastAsia="Times New Roman" w:hAnsi="Arial"/>
                <w:sz w:val="16"/>
                <w:szCs w:val="16"/>
              </w:rPr>
            </w:pPr>
            <w:r w:rsidRPr="001E57EA">
              <w:rPr>
                <w:rFonts w:ascii="Arial" w:eastAsia="Times New Roman" w:hAnsi="Arial"/>
                <w:sz w:val="16"/>
                <w:szCs w:val="16"/>
              </w:rPr>
              <w:t>54.024,15</w:t>
            </w:r>
          </w:p>
        </w:tc>
      </w:tr>
      <w:tr w:rsidR="001E57EA" w:rsidRPr="001E57EA" w:rsidTr="00921AC6">
        <w:tc>
          <w:tcPr>
            <w:tcW w:w="525"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5.</w:t>
            </w:r>
          </w:p>
        </w:tc>
        <w:tc>
          <w:tcPr>
            <w:tcW w:w="1674" w:type="pct"/>
            <w:shd w:val="clear" w:color="auto" w:fill="auto"/>
          </w:tcPr>
          <w:p w:rsidR="00912A8F" w:rsidRPr="001E57EA" w:rsidRDefault="00912A8F"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„Žena BiH“ Mostar </w:t>
            </w:r>
          </w:p>
        </w:tc>
        <w:tc>
          <w:tcPr>
            <w:tcW w:w="2802" w:type="pct"/>
            <w:shd w:val="clear" w:color="auto" w:fill="auto"/>
          </w:tcPr>
          <w:p w:rsidR="00912A8F" w:rsidRPr="001E57EA" w:rsidRDefault="00912A8F" w:rsidP="00921AC6">
            <w:pPr>
              <w:spacing w:after="0" w:line="259" w:lineRule="auto"/>
              <w:jc w:val="center"/>
              <w:rPr>
                <w:rFonts w:ascii="Arial" w:eastAsia="Times New Roman" w:hAnsi="Arial"/>
                <w:sz w:val="16"/>
                <w:szCs w:val="16"/>
              </w:rPr>
            </w:pPr>
            <w:r w:rsidRPr="001E57EA">
              <w:rPr>
                <w:rFonts w:ascii="Arial" w:eastAsia="Times New Roman" w:hAnsi="Arial"/>
                <w:sz w:val="16"/>
                <w:szCs w:val="16"/>
              </w:rPr>
              <w:t>34.789,63</w:t>
            </w:r>
          </w:p>
        </w:tc>
      </w:tr>
      <w:tr w:rsidR="00912A8F" w:rsidRPr="001E57EA" w:rsidTr="00921AC6">
        <w:tc>
          <w:tcPr>
            <w:tcW w:w="525" w:type="pct"/>
            <w:shd w:val="clear" w:color="auto" w:fill="auto"/>
          </w:tcPr>
          <w:p w:rsidR="00912A8F" w:rsidRPr="001E57EA" w:rsidRDefault="00912A8F" w:rsidP="00921AC6">
            <w:pPr>
              <w:spacing w:after="0"/>
              <w:jc w:val="center"/>
              <w:rPr>
                <w:rFonts w:ascii="Arial" w:eastAsia="Times New Roman" w:hAnsi="Arial"/>
                <w:b/>
                <w:sz w:val="16"/>
                <w:szCs w:val="16"/>
                <w:lang w:val="hr-HR"/>
              </w:rPr>
            </w:pPr>
          </w:p>
        </w:tc>
        <w:tc>
          <w:tcPr>
            <w:tcW w:w="1674" w:type="pct"/>
            <w:shd w:val="clear" w:color="auto" w:fill="auto"/>
          </w:tcPr>
          <w:p w:rsidR="00912A8F" w:rsidRPr="001E57EA" w:rsidRDefault="00912A8F" w:rsidP="00921AC6">
            <w:pPr>
              <w:spacing w:after="0"/>
              <w:jc w:val="center"/>
              <w:rPr>
                <w:rFonts w:ascii="Arial" w:eastAsia="Times New Roman" w:hAnsi="Arial"/>
                <w:b/>
                <w:sz w:val="16"/>
                <w:szCs w:val="16"/>
                <w:lang w:val="hr-HR"/>
              </w:rPr>
            </w:pPr>
            <w:r w:rsidRPr="001E57EA">
              <w:rPr>
                <w:rFonts w:ascii="Arial" w:eastAsia="Times New Roman" w:hAnsi="Arial"/>
                <w:b/>
                <w:sz w:val="16"/>
                <w:szCs w:val="16"/>
                <w:lang w:val="hr-HR"/>
              </w:rPr>
              <w:t xml:space="preserve">Ukupno KM: </w:t>
            </w:r>
          </w:p>
        </w:tc>
        <w:tc>
          <w:tcPr>
            <w:tcW w:w="2802" w:type="pct"/>
            <w:shd w:val="clear" w:color="auto" w:fill="auto"/>
          </w:tcPr>
          <w:p w:rsidR="00912A8F" w:rsidRPr="001E57EA" w:rsidRDefault="00912A8F" w:rsidP="00921AC6">
            <w:pPr>
              <w:spacing w:after="0" w:line="259" w:lineRule="auto"/>
              <w:jc w:val="center"/>
              <w:rPr>
                <w:rFonts w:ascii="Arial" w:eastAsia="Times New Roman" w:hAnsi="Arial"/>
                <w:b/>
                <w:sz w:val="16"/>
                <w:szCs w:val="16"/>
              </w:rPr>
            </w:pPr>
            <w:r w:rsidRPr="001E57EA">
              <w:rPr>
                <w:rFonts w:ascii="Arial" w:eastAsia="Times New Roman" w:hAnsi="Arial"/>
                <w:b/>
                <w:sz w:val="16"/>
                <w:szCs w:val="16"/>
              </w:rPr>
              <w:t>249.853,15</w:t>
            </w:r>
          </w:p>
        </w:tc>
      </w:tr>
    </w:tbl>
    <w:p w:rsidR="00AE6C42" w:rsidRPr="001E57EA" w:rsidRDefault="00AE6C42" w:rsidP="00BF3ED5">
      <w:pPr>
        <w:pStyle w:val="TekstStrategija"/>
      </w:pPr>
    </w:p>
    <w:p w:rsidR="00AE6C42" w:rsidRPr="001E57EA" w:rsidRDefault="00CC01AB" w:rsidP="00BF3ED5">
      <w:pPr>
        <w:pStyle w:val="TekstStrategija"/>
      </w:pPr>
      <w:r w:rsidRPr="001E57EA">
        <w:t>Osim navedenog</w:t>
      </w:r>
      <w:r w:rsidR="00AE6C42" w:rsidRPr="001E57EA">
        <w:t xml:space="preserve">, Federalno ministarstvo rada i socijalne politike </w:t>
      </w:r>
      <w:r w:rsidRPr="001E57EA">
        <w:t xml:space="preserve">podržava </w:t>
      </w:r>
      <w:r w:rsidR="00AE6C42" w:rsidRPr="001E57EA">
        <w:t>sigurne kuće i kroz Javni poziv za finan</w:t>
      </w:r>
      <w:r w:rsidRPr="001E57EA">
        <w:t>s</w:t>
      </w:r>
      <w:r w:rsidR="00AE6C42" w:rsidRPr="001E57EA">
        <w:t xml:space="preserve">iranje projekata i programa iz sredstava dijela prihoda </w:t>
      </w:r>
      <w:r w:rsidR="00AE6C42" w:rsidRPr="001E57EA">
        <w:lastRenderedPageBreak/>
        <w:t xml:space="preserve">ostvarenih u </w:t>
      </w:r>
      <w:r w:rsidRPr="001E57EA">
        <w:t>B</w:t>
      </w:r>
      <w:r w:rsidR="00AE6C42" w:rsidRPr="001E57EA">
        <w:t>udžetu Federacije Bosne i Hercegovine</w:t>
      </w:r>
      <w:r w:rsidR="005B3D01" w:rsidRPr="001E57EA">
        <w:t>,</w:t>
      </w:r>
      <w:r w:rsidR="00AE6C42" w:rsidRPr="001E57EA">
        <w:t xml:space="preserve"> kroz transfer po osnovu igara na sreću – za finansiranje programa i projekata koji se odnose na „smještaj i utočište žrtvama torture i nasilja (sigurne kuće)“</w:t>
      </w:r>
      <w:r w:rsidR="00013E15" w:rsidRPr="001E57EA">
        <w:t>, što je vidljivo iz T</w:t>
      </w:r>
      <w:r w:rsidRPr="001E57EA">
        <w:t>abele</w:t>
      </w:r>
      <w:r w:rsidR="00013E15" w:rsidRPr="001E57EA">
        <w:t xml:space="preserve"> 5</w:t>
      </w:r>
      <w:r w:rsidRPr="001E57EA">
        <w:t>.</w:t>
      </w:r>
    </w:p>
    <w:p w:rsidR="00EB6DEF" w:rsidRPr="001E57EA" w:rsidRDefault="00EB6DEF">
      <w:pPr>
        <w:spacing w:after="0"/>
        <w:rPr>
          <w:rFonts w:ascii="Arial" w:hAnsi="Arial"/>
          <w:b/>
          <w:i/>
          <w:iCs/>
          <w:sz w:val="20"/>
          <w:szCs w:val="20"/>
          <w:lang w:val="bs-Latn-BA"/>
        </w:rPr>
      </w:pPr>
    </w:p>
    <w:p w:rsidR="00CC01AB" w:rsidRPr="001E57EA" w:rsidRDefault="00CC01AB" w:rsidP="00CC01AB">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5</w:t>
      </w:r>
      <w:r w:rsidRPr="001E57EA">
        <w:fldChar w:fldCharType="end"/>
      </w:r>
      <w:r w:rsidRPr="001E57EA">
        <w:t>: Dodijeljeni transferi sigurnim kućama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544"/>
        <w:gridCol w:w="2546"/>
      </w:tblGrid>
      <w:tr w:rsidR="001E57EA" w:rsidRPr="001E57EA" w:rsidTr="00921AC6">
        <w:trPr>
          <w:trHeight w:val="144"/>
        </w:trPr>
        <w:tc>
          <w:tcPr>
            <w:tcW w:w="2177" w:type="pct"/>
            <w:shd w:val="clear" w:color="auto" w:fill="auto"/>
          </w:tcPr>
          <w:p w:rsidR="009A623D" w:rsidRPr="001E57EA" w:rsidRDefault="009A623D" w:rsidP="00921AC6">
            <w:pPr>
              <w:spacing w:after="0"/>
              <w:jc w:val="center"/>
              <w:rPr>
                <w:rFonts w:ascii="Arial" w:eastAsia="Times New Roman" w:hAnsi="Arial"/>
                <w:b/>
                <w:sz w:val="16"/>
                <w:szCs w:val="16"/>
                <w:lang w:val="hr-HR"/>
              </w:rPr>
            </w:pPr>
            <w:r w:rsidRPr="001E57EA">
              <w:rPr>
                <w:rFonts w:ascii="Arial" w:eastAsia="Times New Roman" w:hAnsi="Arial"/>
                <w:b/>
                <w:sz w:val="16"/>
                <w:szCs w:val="16"/>
                <w:lang w:val="hr-HR"/>
              </w:rPr>
              <w:t>Naziv sigurne kuće</w:t>
            </w:r>
          </w:p>
        </w:tc>
        <w:tc>
          <w:tcPr>
            <w:tcW w:w="1411" w:type="pct"/>
            <w:shd w:val="clear" w:color="auto" w:fill="auto"/>
          </w:tcPr>
          <w:p w:rsidR="009A623D" w:rsidRPr="001E57EA" w:rsidRDefault="009A623D" w:rsidP="00921AC6">
            <w:pPr>
              <w:spacing w:after="0"/>
              <w:jc w:val="center"/>
              <w:rPr>
                <w:rFonts w:ascii="Arial" w:eastAsia="Times New Roman" w:hAnsi="Arial"/>
                <w:b/>
                <w:sz w:val="16"/>
                <w:szCs w:val="16"/>
                <w:lang w:val="hr-HR"/>
              </w:rPr>
            </w:pPr>
            <w:r w:rsidRPr="001E57EA">
              <w:rPr>
                <w:rFonts w:ascii="Arial" w:eastAsia="Times New Roman" w:hAnsi="Arial"/>
                <w:b/>
                <w:sz w:val="16"/>
                <w:szCs w:val="16"/>
                <w:lang w:val="hr-HR"/>
              </w:rPr>
              <w:t>Dodijeljeni iznos u 2019. godini</w:t>
            </w:r>
          </w:p>
        </w:tc>
        <w:tc>
          <w:tcPr>
            <w:tcW w:w="1412" w:type="pct"/>
            <w:shd w:val="clear" w:color="auto" w:fill="auto"/>
          </w:tcPr>
          <w:p w:rsidR="009A623D" w:rsidRPr="001E57EA" w:rsidRDefault="009A623D" w:rsidP="00921AC6">
            <w:pPr>
              <w:spacing w:after="0"/>
              <w:jc w:val="center"/>
              <w:rPr>
                <w:rFonts w:ascii="Arial" w:eastAsia="Times New Roman" w:hAnsi="Arial"/>
                <w:b/>
                <w:sz w:val="16"/>
                <w:szCs w:val="16"/>
                <w:lang w:val="hr-HR"/>
              </w:rPr>
            </w:pPr>
            <w:r w:rsidRPr="001E57EA">
              <w:rPr>
                <w:rFonts w:ascii="Arial" w:eastAsia="Times New Roman" w:hAnsi="Arial"/>
                <w:b/>
                <w:sz w:val="16"/>
                <w:szCs w:val="16"/>
                <w:lang w:val="hr-HR"/>
              </w:rPr>
              <w:t xml:space="preserve">Dodijeljeni iznos u 2020. godini </w:t>
            </w:r>
          </w:p>
        </w:tc>
      </w:tr>
      <w:tr w:rsidR="001E57EA" w:rsidRPr="001E57EA" w:rsidTr="00921AC6">
        <w:trPr>
          <w:trHeight w:val="144"/>
        </w:trPr>
        <w:tc>
          <w:tcPr>
            <w:tcW w:w="2177" w:type="pct"/>
            <w:shd w:val="clear" w:color="auto" w:fill="auto"/>
          </w:tcPr>
          <w:p w:rsidR="009A623D" w:rsidRPr="001E57EA" w:rsidRDefault="009A623D"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Žene sa Une</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w:t>
            </w:r>
          </w:p>
        </w:tc>
        <w:tc>
          <w:tcPr>
            <w:tcW w:w="1411"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0,00</w:t>
            </w:r>
          </w:p>
        </w:tc>
        <w:tc>
          <w:tcPr>
            <w:tcW w:w="1412"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0.00</w:t>
            </w:r>
          </w:p>
        </w:tc>
      </w:tr>
      <w:tr w:rsidR="001E57EA" w:rsidRPr="001E57EA" w:rsidTr="00921AC6">
        <w:trPr>
          <w:trHeight w:val="144"/>
        </w:trPr>
        <w:tc>
          <w:tcPr>
            <w:tcW w:w="2177" w:type="pct"/>
            <w:shd w:val="clear" w:color="auto" w:fill="auto"/>
          </w:tcPr>
          <w:p w:rsidR="009A623D" w:rsidRPr="001E57EA" w:rsidRDefault="009A623D"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Vive žene</w:t>
            </w:r>
            <w:r w:rsidR="005B3D01" w:rsidRPr="001E57EA">
              <w:rPr>
                <w:rFonts w:ascii="Arial" w:eastAsia="Times New Roman" w:hAnsi="Arial"/>
                <w:sz w:val="16"/>
                <w:szCs w:val="16"/>
                <w:lang w:val="hr-HR"/>
              </w:rPr>
              <w:t>“</w:t>
            </w:r>
          </w:p>
        </w:tc>
        <w:tc>
          <w:tcPr>
            <w:tcW w:w="1411"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22.800,00</w:t>
            </w:r>
          </w:p>
        </w:tc>
        <w:tc>
          <w:tcPr>
            <w:tcW w:w="1412"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14.978,88</w:t>
            </w:r>
          </w:p>
        </w:tc>
      </w:tr>
      <w:tr w:rsidR="001E57EA" w:rsidRPr="001E57EA" w:rsidTr="00921AC6">
        <w:trPr>
          <w:trHeight w:val="144"/>
        </w:trPr>
        <w:tc>
          <w:tcPr>
            <w:tcW w:w="2177" w:type="pct"/>
            <w:shd w:val="clear" w:color="auto" w:fill="auto"/>
          </w:tcPr>
          <w:p w:rsidR="009A623D" w:rsidRPr="001E57EA" w:rsidRDefault="009A623D"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Medica</w:t>
            </w:r>
            <w:r w:rsidR="005B3D01" w:rsidRPr="001E57EA">
              <w:rPr>
                <w:rFonts w:ascii="Arial" w:eastAsia="Times New Roman" w:hAnsi="Arial"/>
                <w:sz w:val="16"/>
                <w:szCs w:val="16"/>
                <w:lang w:val="hr-HR"/>
              </w:rPr>
              <w:t>“</w:t>
            </w:r>
          </w:p>
        </w:tc>
        <w:tc>
          <w:tcPr>
            <w:tcW w:w="1411"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26.400,00</w:t>
            </w:r>
          </w:p>
        </w:tc>
        <w:tc>
          <w:tcPr>
            <w:tcW w:w="1412"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18.518,45</w:t>
            </w:r>
          </w:p>
        </w:tc>
      </w:tr>
      <w:tr w:rsidR="001E57EA" w:rsidRPr="001E57EA" w:rsidTr="00921AC6">
        <w:trPr>
          <w:trHeight w:val="144"/>
        </w:trPr>
        <w:tc>
          <w:tcPr>
            <w:tcW w:w="2177" w:type="pct"/>
            <w:shd w:val="clear" w:color="auto" w:fill="auto"/>
          </w:tcPr>
          <w:p w:rsidR="009A623D" w:rsidRPr="001E57EA" w:rsidRDefault="009A623D"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Udruženje </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Žena BiH</w:t>
            </w:r>
            <w:r w:rsidR="005B3D01" w:rsidRPr="001E57EA">
              <w:rPr>
                <w:rFonts w:ascii="Arial" w:eastAsia="Times New Roman" w:hAnsi="Arial"/>
                <w:sz w:val="16"/>
                <w:szCs w:val="16"/>
                <w:lang w:val="hr-HR"/>
              </w:rPr>
              <w:t>“</w:t>
            </w:r>
            <w:r w:rsidRPr="001E57EA">
              <w:rPr>
                <w:rFonts w:ascii="Arial" w:eastAsia="Times New Roman" w:hAnsi="Arial"/>
                <w:sz w:val="16"/>
                <w:szCs w:val="16"/>
                <w:lang w:val="hr-HR"/>
              </w:rPr>
              <w:t>*</w:t>
            </w:r>
          </w:p>
        </w:tc>
        <w:tc>
          <w:tcPr>
            <w:tcW w:w="1411"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0,00</w:t>
            </w:r>
          </w:p>
        </w:tc>
        <w:tc>
          <w:tcPr>
            <w:tcW w:w="1412"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0,00</w:t>
            </w:r>
          </w:p>
        </w:tc>
      </w:tr>
      <w:tr w:rsidR="001E57EA" w:rsidRPr="001E57EA" w:rsidTr="00921AC6">
        <w:trPr>
          <w:trHeight w:val="144"/>
        </w:trPr>
        <w:tc>
          <w:tcPr>
            <w:tcW w:w="2177" w:type="pct"/>
            <w:shd w:val="clear" w:color="auto" w:fill="auto"/>
          </w:tcPr>
          <w:p w:rsidR="009A623D" w:rsidRPr="001E57EA" w:rsidRDefault="009A623D"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Fondacija lokalne demokratije*</w:t>
            </w:r>
          </w:p>
        </w:tc>
        <w:tc>
          <w:tcPr>
            <w:tcW w:w="1411"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0,00</w:t>
            </w:r>
          </w:p>
        </w:tc>
        <w:tc>
          <w:tcPr>
            <w:tcW w:w="1412"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14.908,44</w:t>
            </w:r>
          </w:p>
        </w:tc>
      </w:tr>
      <w:tr w:rsidR="001E57EA" w:rsidRPr="001E57EA" w:rsidTr="00921AC6">
        <w:trPr>
          <w:trHeight w:val="144"/>
        </w:trPr>
        <w:tc>
          <w:tcPr>
            <w:tcW w:w="2177" w:type="pct"/>
            <w:shd w:val="clear" w:color="auto" w:fill="auto"/>
          </w:tcPr>
          <w:p w:rsidR="009A623D" w:rsidRPr="001E57EA" w:rsidRDefault="009A623D" w:rsidP="00921AC6">
            <w:pPr>
              <w:spacing w:after="0"/>
              <w:jc w:val="center"/>
              <w:rPr>
                <w:rFonts w:ascii="Arial" w:eastAsia="Times New Roman" w:hAnsi="Arial"/>
                <w:sz w:val="16"/>
                <w:szCs w:val="16"/>
                <w:lang w:val="hr-HR"/>
              </w:rPr>
            </w:pPr>
            <w:r w:rsidRPr="001E57EA">
              <w:rPr>
                <w:rFonts w:ascii="Arial" w:eastAsia="Times New Roman" w:hAnsi="Arial"/>
                <w:sz w:val="16"/>
                <w:szCs w:val="16"/>
                <w:lang w:val="hr-HR"/>
              </w:rPr>
              <w:t xml:space="preserve">UKUPNO KM: </w:t>
            </w:r>
          </w:p>
        </w:tc>
        <w:tc>
          <w:tcPr>
            <w:tcW w:w="1411"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49.200,00</w:t>
            </w:r>
          </w:p>
        </w:tc>
        <w:tc>
          <w:tcPr>
            <w:tcW w:w="1412" w:type="pct"/>
            <w:shd w:val="clear" w:color="auto" w:fill="auto"/>
          </w:tcPr>
          <w:p w:rsidR="009A623D" w:rsidRPr="001E57EA" w:rsidRDefault="009A623D" w:rsidP="00921AC6">
            <w:pPr>
              <w:spacing w:after="0"/>
              <w:jc w:val="right"/>
              <w:rPr>
                <w:rFonts w:ascii="Arial" w:eastAsia="Times New Roman" w:hAnsi="Arial"/>
                <w:sz w:val="16"/>
                <w:szCs w:val="16"/>
                <w:lang w:val="hr-HR"/>
              </w:rPr>
            </w:pPr>
            <w:r w:rsidRPr="001E57EA">
              <w:rPr>
                <w:rFonts w:ascii="Arial" w:eastAsia="Times New Roman" w:hAnsi="Arial"/>
                <w:sz w:val="16"/>
                <w:szCs w:val="16"/>
                <w:lang w:val="hr-HR"/>
              </w:rPr>
              <w:t>48.405,77</w:t>
            </w:r>
          </w:p>
        </w:tc>
      </w:tr>
    </w:tbl>
    <w:p w:rsidR="00517C8B" w:rsidRPr="001E57EA" w:rsidRDefault="009A623D" w:rsidP="009A623D">
      <w:pPr>
        <w:pStyle w:val="Napomena"/>
      </w:pPr>
      <w:r w:rsidRPr="001E57EA">
        <w:t>*NAPOMENA: Nij</w:t>
      </w:r>
      <w:r w:rsidR="005B3D01" w:rsidRPr="001E57EA">
        <w:t xml:space="preserve">e </w:t>
      </w:r>
      <w:r w:rsidRPr="001E57EA">
        <w:t>apliciral</w:t>
      </w:r>
      <w:r w:rsidR="005B3D01" w:rsidRPr="001E57EA">
        <w:t>o</w:t>
      </w:r>
      <w:r w:rsidRPr="001E57EA">
        <w:t xml:space="preserve"> za sredstva od igara na sreću u 2019. i 2020. godini</w:t>
      </w:r>
    </w:p>
    <w:p w:rsidR="009A623D" w:rsidRPr="001E57EA" w:rsidRDefault="009A623D" w:rsidP="00BF3ED5">
      <w:pPr>
        <w:pStyle w:val="TekstStrategija"/>
      </w:pPr>
    </w:p>
    <w:p w:rsidR="007512C4" w:rsidRPr="001E57EA" w:rsidRDefault="00517C8B" w:rsidP="00BF3ED5">
      <w:pPr>
        <w:pStyle w:val="TekstStrategija"/>
      </w:pPr>
      <w:r w:rsidRPr="001E57EA">
        <w:t>Dodjela</w:t>
      </w:r>
      <w:r w:rsidR="00AE6C42" w:rsidRPr="001E57EA">
        <w:t xml:space="preserve"> finansijskih sredstava sigurnim kućama </w:t>
      </w:r>
      <w:r w:rsidRPr="001E57EA">
        <w:t xml:space="preserve">se </w:t>
      </w:r>
      <w:r w:rsidR="005B3D01" w:rsidRPr="001E57EA">
        <w:t xml:space="preserve">realizira </w:t>
      </w:r>
      <w:r w:rsidR="00AE6C42" w:rsidRPr="001E57EA">
        <w:t xml:space="preserve">i iz budžeta drugih nivoa vlasti, odnosno državnog, kantonalnih i općinskih budžeta. </w:t>
      </w:r>
      <w:r w:rsidR="007512C4" w:rsidRPr="001E57EA">
        <w:t>Osim sigurnih kuća, u pojedinim kantonima i lokalnim zajednicama, socijalno ugroženim osobama, uključujući i žrtve nasilja u porodici</w:t>
      </w:r>
      <w:r w:rsidR="005B3D01" w:rsidRPr="001E57EA">
        <w:t>,</w:t>
      </w:r>
      <w:r w:rsidR="007512C4" w:rsidRPr="001E57EA">
        <w:t xml:space="preserve"> dodjeljuju se socijalni stanovi na privremeno korištenje.</w:t>
      </w:r>
    </w:p>
    <w:p w:rsidR="007512C4" w:rsidRPr="001E57EA" w:rsidRDefault="00013E15" w:rsidP="00BF3ED5">
      <w:pPr>
        <w:pStyle w:val="TekstStrategija"/>
      </w:pPr>
      <w:r w:rsidRPr="001E57EA">
        <w:t>Program podrške žrtvama nasilja kroz sigurnu kuću podrazumijeva širi obuhvat rada nego što je to sam sigurni smještaj i to: tretman socijalnog rada, psihološka podrška, pedagoški rad sa djecom, medicinska podrška, pravno savjetovanje, kontakti sa predstavnicima institucija i članovima porodice, ekonomsko osnaživanje, doedukacija i dr.</w:t>
      </w:r>
    </w:p>
    <w:p w:rsidR="00CD236E" w:rsidRPr="001E57EA" w:rsidRDefault="00CD236E" w:rsidP="00CD236E">
      <w:pPr>
        <w:pStyle w:val="4naslov"/>
        <w:rPr>
          <w:rFonts w:cs="Arial"/>
          <w:lang w:val="bs-Latn-BA"/>
        </w:rPr>
      </w:pPr>
      <w:bookmarkStart w:id="15" w:name="_Toc145323811"/>
      <w:r w:rsidRPr="001E57EA">
        <w:rPr>
          <w:rFonts w:cs="Arial"/>
          <w:lang w:val="bs-Latn-BA"/>
        </w:rPr>
        <w:t>Ostali servisi</w:t>
      </w:r>
      <w:bookmarkEnd w:id="15"/>
    </w:p>
    <w:p w:rsidR="00453F80" w:rsidRPr="001E57EA" w:rsidRDefault="00453F80" w:rsidP="00BF3ED5">
      <w:pPr>
        <w:pStyle w:val="TekstStrategija"/>
      </w:pPr>
      <w:r w:rsidRPr="001E57EA">
        <w:t xml:space="preserve">Nevladine organizacije koje djeluju u oblasti prevencije i postupanja u slučajevima nasilja u porodici su direktno ili indirektno prepoznate u </w:t>
      </w:r>
      <w:r w:rsidR="00C31CB3" w:rsidRPr="001E57EA">
        <w:t>Član</w:t>
      </w:r>
      <w:r w:rsidRPr="001E57EA">
        <w:t xml:space="preserve">ovima, 3., 8., 35., 37., 38. i 39. Zakona i kao takve djeluju ili u okviru rada koordinacionih tijela za implementaciju strateških dokumenata ili pružaju servise ili usluge u vezi </w:t>
      </w:r>
      <w:r w:rsidR="005B3D01" w:rsidRPr="001E57EA">
        <w:t xml:space="preserve">sa zaštitom </w:t>
      </w:r>
      <w:r w:rsidRPr="001E57EA">
        <w:t xml:space="preserve">žrtava nasilja, </w:t>
      </w:r>
      <w:r w:rsidR="005B3D01" w:rsidRPr="001E57EA">
        <w:t xml:space="preserve">radom </w:t>
      </w:r>
      <w:r w:rsidRPr="001E57EA">
        <w:t xml:space="preserve">sa </w:t>
      </w:r>
      <w:r w:rsidR="00013E15" w:rsidRPr="001E57EA">
        <w:t>počiniocima nasilja</w:t>
      </w:r>
      <w:r w:rsidRPr="001E57EA">
        <w:t xml:space="preserve">, provode zagovaranja, edukacije, te rade na ekonomskom osnaživanju žrtava nasilja u porodici. </w:t>
      </w:r>
    </w:p>
    <w:p w:rsidR="00432920" w:rsidRPr="001E57EA" w:rsidRDefault="00432920" w:rsidP="00BF3ED5">
      <w:pPr>
        <w:pStyle w:val="TekstStrategija"/>
      </w:pPr>
      <w:r w:rsidRPr="001E57EA">
        <w:rPr>
          <w:lang w:eastAsia="bs-Latn-BA"/>
        </w:rPr>
        <w:t xml:space="preserve">Servis koji nije u potpunosti pravno </w:t>
      </w:r>
      <w:r w:rsidR="007B4EB1" w:rsidRPr="001E57EA">
        <w:rPr>
          <w:lang w:eastAsia="bs-Latn-BA"/>
        </w:rPr>
        <w:t xml:space="preserve">reguliran </w:t>
      </w:r>
      <w:r w:rsidRPr="001E57EA">
        <w:rPr>
          <w:lang w:eastAsia="bs-Latn-BA"/>
        </w:rPr>
        <w:t xml:space="preserve">je </w:t>
      </w:r>
      <w:r w:rsidR="007B4EB1" w:rsidRPr="001E57EA">
        <w:rPr>
          <w:lang w:eastAsia="bs-Latn-BA"/>
        </w:rPr>
        <w:t xml:space="preserve">funkcioniranje </w:t>
      </w:r>
      <w:r w:rsidRPr="001E57EA">
        <w:rPr>
          <w:lang w:eastAsia="bs-Latn-BA"/>
        </w:rPr>
        <w:t>SOS linije 1265 za žrtve nasilja u porodici.</w:t>
      </w:r>
      <w:r w:rsidRPr="001E57EA">
        <w:t xml:space="preserve"> Ova telefonska linija </w:t>
      </w:r>
      <w:r w:rsidR="007B4EB1" w:rsidRPr="001E57EA">
        <w:t xml:space="preserve">funkcionira </w:t>
      </w:r>
      <w:r w:rsidRPr="001E57EA">
        <w:t>na osnovu potpisanog Memoranduma o saradnji između Gender Centra Federacije BiH, Centra za socijalni rad Jajce, nevladinih organizacija „Fondacija lokalne demokratije“ – Sarajevo, Udruženje građana „Vive Žene“ – Tuzla, Udruženje „Žene sa Une“ – Bihać, Udruženje građana „Medica“ – Zenica i Udruženje „Žena BiH“- Mostar.</w:t>
      </w:r>
    </w:p>
    <w:p w:rsidR="00F4569F" w:rsidRPr="001E57EA" w:rsidRDefault="00F4569F" w:rsidP="00F4569F">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Pr="001E57EA">
        <w:rPr>
          <w:noProof/>
        </w:rPr>
        <w:t>6</w:t>
      </w:r>
      <w:r w:rsidRPr="001E57EA">
        <w:fldChar w:fldCharType="end"/>
      </w:r>
      <w:r w:rsidRPr="001E57EA">
        <w:t>: Broj poziva na SOS telefon 1265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42"/>
        <w:gridCol w:w="931"/>
        <w:gridCol w:w="932"/>
        <w:gridCol w:w="784"/>
        <w:gridCol w:w="932"/>
        <w:gridCol w:w="784"/>
        <w:gridCol w:w="932"/>
        <w:gridCol w:w="930"/>
        <w:gridCol w:w="918"/>
      </w:tblGrid>
      <w:tr w:rsidR="001E57EA" w:rsidRPr="001E57EA" w:rsidTr="00F4569F">
        <w:trPr>
          <w:trHeight w:val="47"/>
        </w:trPr>
        <w:tc>
          <w:tcPr>
            <w:tcW w:w="1038" w:type="pct"/>
            <w:gridSpan w:val="2"/>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b/>
                <w:sz w:val="16"/>
                <w:szCs w:val="16"/>
                <w:lang w:val="bs-Latn-BA"/>
              </w:rPr>
            </w:pPr>
            <w:r w:rsidRPr="001E57EA">
              <w:rPr>
                <w:rFonts w:ascii="Arial" w:hAnsi="Arial"/>
                <w:b/>
                <w:sz w:val="16"/>
                <w:szCs w:val="16"/>
                <w:lang w:val="bs-Latn-BA"/>
              </w:rPr>
              <w:t>2018.</w:t>
            </w:r>
          </w:p>
        </w:tc>
        <w:tc>
          <w:tcPr>
            <w:tcW w:w="1033" w:type="pct"/>
            <w:gridSpan w:val="2"/>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b/>
                <w:sz w:val="16"/>
                <w:szCs w:val="16"/>
                <w:lang w:val="bs-Latn-BA"/>
              </w:rPr>
            </w:pPr>
            <w:r w:rsidRPr="001E57EA">
              <w:rPr>
                <w:rFonts w:ascii="Arial" w:hAnsi="Arial"/>
                <w:b/>
                <w:sz w:val="16"/>
                <w:szCs w:val="16"/>
                <w:lang w:val="bs-Latn-BA"/>
              </w:rPr>
              <w:t>2019.</w:t>
            </w:r>
          </w:p>
        </w:tc>
        <w:tc>
          <w:tcPr>
            <w:tcW w:w="952" w:type="pct"/>
            <w:gridSpan w:val="2"/>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b/>
                <w:sz w:val="16"/>
                <w:szCs w:val="16"/>
                <w:lang w:val="bs-Latn-BA"/>
              </w:rPr>
            </w:pPr>
            <w:r w:rsidRPr="001E57EA">
              <w:rPr>
                <w:rFonts w:ascii="Arial" w:hAnsi="Arial"/>
                <w:b/>
                <w:sz w:val="16"/>
                <w:szCs w:val="16"/>
                <w:lang w:val="bs-Latn-BA"/>
              </w:rPr>
              <w:t>2020.</w:t>
            </w:r>
          </w:p>
        </w:tc>
        <w:tc>
          <w:tcPr>
            <w:tcW w:w="952" w:type="pct"/>
            <w:gridSpan w:val="2"/>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b/>
                <w:sz w:val="16"/>
                <w:szCs w:val="16"/>
                <w:lang w:val="bs-Latn-BA"/>
              </w:rPr>
            </w:pPr>
            <w:r w:rsidRPr="001E57EA">
              <w:rPr>
                <w:rFonts w:ascii="Arial" w:hAnsi="Arial"/>
                <w:b/>
                <w:sz w:val="16"/>
                <w:szCs w:val="16"/>
                <w:lang w:val="bs-Latn-BA"/>
              </w:rPr>
              <w:t>2021.</w:t>
            </w:r>
          </w:p>
        </w:tc>
        <w:tc>
          <w:tcPr>
            <w:tcW w:w="1026" w:type="pct"/>
            <w:gridSpan w:val="2"/>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6"/>
                <w:szCs w:val="16"/>
                <w:lang w:val="bs-Latn-BA"/>
              </w:rPr>
            </w:pPr>
            <w:r w:rsidRPr="001E57EA">
              <w:rPr>
                <w:rFonts w:ascii="Arial" w:hAnsi="Arial"/>
                <w:b/>
                <w:sz w:val="16"/>
                <w:szCs w:val="16"/>
                <w:lang w:val="bs-Latn-BA"/>
              </w:rPr>
              <w:t>2022.</w:t>
            </w:r>
          </w:p>
        </w:tc>
      </w:tr>
      <w:tr w:rsidR="001E57EA" w:rsidRPr="001E57EA" w:rsidTr="00F4569F">
        <w:trPr>
          <w:trHeight w:val="130"/>
        </w:trPr>
        <w:tc>
          <w:tcPr>
            <w:tcW w:w="516"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m</w:t>
            </w:r>
          </w:p>
        </w:tc>
        <w:tc>
          <w:tcPr>
            <w:tcW w:w="521"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ž</w:t>
            </w:r>
          </w:p>
        </w:tc>
        <w:tc>
          <w:tcPr>
            <w:tcW w:w="516"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m</w:t>
            </w:r>
          </w:p>
        </w:tc>
        <w:tc>
          <w:tcPr>
            <w:tcW w:w="517"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ž</w:t>
            </w:r>
          </w:p>
        </w:tc>
        <w:tc>
          <w:tcPr>
            <w:tcW w:w="435" w:type="pct"/>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m</w:t>
            </w:r>
          </w:p>
        </w:tc>
        <w:tc>
          <w:tcPr>
            <w:tcW w:w="517" w:type="pct"/>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ž</w:t>
            </w:r>
          </w:p>
        </w:tc>
        <w:tc>
          <w:tcPr>
            <w:tcW w:w="435" w:type="pct"/>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m</w:t>
            </w:r>
          </w:p>
        </w:tc>
        <w:tc>
          <w:tcPr>
            <w:tcW w:w="517" w:type="pct"/>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ž</w:t>
            </w:r>
          </w:p>
        </w:tc>
        <w:tc>
          <w:tcPr>
            <w:tcW w:w="516" w:type="pct"/>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m</w:t>
            </w:r>
          </w:p>
        </w:tc>
        <w:tc>
          <w:tcPr>
            <w:tcW w:w="510" w:type="pct"/>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sz w:val="16"/>
                <w:szCs w:val="16"/>
                <w:lang w:val="bs-Latn-BA"/>
              </w:rPr>
            </w:pPr>
            <w:r w:rsidRPr="001E57EA">
              <w:rPr>
                <w:rFonts w:ascii="Arial" w:hAnsi="Arial"/>
                <w:sz w:val="16"/>
                <w:szCs w:val="16"/>
                <w:lang w:val="bs-Latn-BA"/>
              </w:rPr>
              <w:t>ž</w:t>
            </w:r>
          </w:p>
        </w:tc>
      </w:tr>
      <w:tr w:rsidR="001E57EA" w:rsidRPr="001E57EA" w:rsidTr="00F4569F">
        <w:trPr>
          <w:trHeight w:val="47"/>
        </w:trPr>
        <w:tc>
          <w:tcPr>
            <w:tcW w:w="516"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14%</w:t>
            </w:r>
          </w:p>
        </w:tc>
        <w:tc>
          <w:tcPr>
            <w:tcW w:w="521"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86%</w:t>
            </w:r>
          </w:p>
        </w:tc>
        <w:tc>
          <w:tcPr>
            <w:tcW w:w="516"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14%</w:t>
            </w:r>
          </w:p>
        </w:tc>
        <w:tc>
          <w:tcPr>
            <w:tcW w:w="517" w:type="pct"/>
            <w:tcBorders>
              <w:top w:val="single" w:sz="4" w:space="0" w:color="auto"/>
              <w:left w:val="single" w:sz="4" w:space="0" w:color="auto"/>
              <w:bottom w:val="single" w:sz="4" w:space="0" w:color="auto"/>
              <w:right w:val="single" w:sz="4" w:space="0" w:color="auto"/>
            </w:tcBorders>
            <w:vAlign w:val="center"/>
            <w:hideMark/>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86%</w:t>
            </w:r>
          </w:p>
        </w:tc>
        <w:tc>
          <w:tcPr>
            <w:tcW w:w="435" w:type="pct"/>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9%</w:t>
            </w:r>
          </w:p>
        </w:tc>
        <w:tc>
          <w:tcPr>
            <w:tcW w:w="517" w:type="pct"/>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91%</w:t>
            </w:r>
          </w:p>
        </w:tc>
        <w:tc>
          <w:tcPr>
            <w:tcW w:w="435" w:type="pct"/>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6%</w:t>
            </w:r>
          </w:p>
        </w:tc>
        <w:tc>
          <w:tcPr>
            <w:tcW w:w="517" w:type="pct"/>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94%</w:t>
            </w:r>
          </w:p>
        </w:tc>
        <w:tc>
          <w:tcPr>
            <w:tcW w:w="516" w:type="pct"/>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12%</w:t>
            </w:r>
          </w:p>
        </w:tc>
        <w:tc>
          <w:tcPr>
            <w:tcW w:w="510" w:type="pct"/>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4"/>
                <w:szCs w:val="14"/>
                <w:lang w:val="bs-Latn-BA"/>
              </w:rPr>
              <w:t>88%</w:t>
            </w:r>
          </w:p>
        </w:tc>
      </w:tr>
      <w:tr w:rsidR="00367443" w:rsidRPr="001E57EA" w:rsidTr="00F4569F">
        <w:trPr>
          <w:trHeight w:val="47"/>
        </w:trPr>
        <w:tc>
          <w:tcPr>
            <w:tcW w:w="1038" w:type="pct"/>
            <w:gridSpan w:val="2"/>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b/>
                <w:sz w:val="14"/>
                <w:szCs w:val="14"/>
                <w:lang w:val="bs-Latn-BA"/>
              </w:rPr>
            </w:pPr>
            <w:r w:rsidRPr="001E57EA">
              <w:rPr>
                <w:rFonts w:ascii="Arial" w:hAnsi="Arial"/>
                <w:b/>
                <w:sz w:val="18"/>
                <w:szCs w:val="18"/>
                <w:lang w:val="bs-Latn-BA"/>
              </w:rPr>
              <w:t>226</w:t>
            </w:r>
          </w:p>
        </w:tc>
        <w:tc>
          <w:tcPr>
            <w:tcW w:w="1033" w:type="pct"/>
            <w:gridSpan w:val="2"/>
            <w:tcBorders>
              <w:top w:val="single" w:sz="4" w:space="0" w:color="auto"/>
              <w:left w:val="single" w:sz="4" w:space="0" w:color="auto"/>
              <w:bottom w:val="single" w:sz="4" w:space="0" w:color="auto"/>
              <w:right w:val="single" w:sz="4" w:space="0" w:color="auto"/>
            </w:tcBorders>
            <w:vAlign w:val="center"/>
          </w:tcPr>
          <w:p w:rsidR="00F4569F" w:rsidRPr="001E57EA" w:rsidRDefault="00F4569F" w:rsidP="00432FB6">
            <w:pPr>
              <w:spacing w:after="0"/>
              <w:jc w:val="center"/>
              <w:rPr>
                <w:rFonts w:ascii="Arial" w:hAnsi="Arial"/>
                <w:b/>
                <w:sz w:val="14"/>
                <w:szCs w:val="14"/>
                <w:lang w:val="bs-Latn-BA"/>
              </w:rPr>
            </w:pPr>
            <w:r w:rsidRPr="001E57EA">
              <w:rPr>
                <w:rFonts w:ascii="Arial" w:hAnsi="Arial"/>
                <w:b/>
                <w:sz w:val="18"/>
                <w:szCs w:val="18"/>
                <w:lang w:val="bs-Latn-BA"/>
              </w:rPr>
              <w:t>501</w:t>
            </w:r>
          </w:p>
        </w:tc>
        <w:tc>
          <w:tcPr>
            <w:tcW w:w="952" w:type="pct"/>
            <w:gridSpan w:val="2"/>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8"/>
                <w:szCs w:val="18"/>
                <w:lang w:val="bs-Latn-BA"/>
              </w:rPr>
              <w:t>913</w:t>
            </w:r>
          </w:p>
        </w:tc>
        <w:tc>
          <w:tcPr>
            <w:tcW w:w="952" w:type="pct"/>
            <w:gridSpan w:val="2"/>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8"/>
                <w:szCs w:val="18"/>
                <w:lang w:val="bs-Latn-BA"/>
              </w:rPr>
              <w:t>182</w:t>
            </w:r>
          </w:p>
        </w:tc>
        <w:tc>
          <w:tcPr>
            <w:tcW w:w="1026" w:type="pct"/>
            <w:gridSpan w:val="2"/>
            <w:tcBorders>
              <w:top w:val="single" w:sz="4" w:space="0" w:color="auto"/>
              <w:left w:val="single" w:sz="4" w:space="0" w:color="auto"/>
              <w:bottom w:val="single" w:sz="4" w:space="0" w:color="auto"/>
              <w:right w:val="single" w:sz="4" w:space="0" w:color="auto"/>
            </w:tcBorders>
          </w:tcPr>
          <w:p w:rsidR="00F4569F" w:rsidRPr="001E57EA" w:rsidRDefault="00F4569F" w:rsidP="00432FB6">
            <w:pPr>
              <w:spacing w:after="0"/>
              <w:jc w:val="center"/>
              <w:rPr>
                <w:rFonts w:ascii="Arial" w:hAnsi="Arial"/>
                <w:b/>
                <w:sz w:val="14"/>
                <w:szCs w:val="14"/>
                <w:lang w:val="bs-Latn-BA"/>
              </w:rPr>
            </w:pPr>
            <w:r w:rsidRPr="001E57EA">
              <w:rPr>
                <w:rFonts w:ascii="Arial" w:hAnsi="Arial"/>
                <w:b/>
                <w:sz w:val="18"/>
                <w:szCs w:val="18"/>
                <w:lang w:val="bs-Latn-BA"/>
              </w:rPr>
              <w:t>1559</w:t>
            </w:r>
          </w:p>
        </w:tc>
      </w:tr>
    </w:tbl>
    <w:p w:rsidR="00987169" w:rsidRPr="001E57EA" w:rsidRDefault="00987169" w:rsidP="00BF3ED5">
      <w:pPr>
        <w:pStyle w:val="TekstStrategija"/>
      </w:pPr>
    </w:p>
    <w:p w:rsidR="00432920" w:rsidRPr="001E57EA" w:rsidRDefault="00432920" w:rsidP="00BF3ED5">
      <w:pPr>
        <w:pStyle w:val="TekstStrategija"/>
      </w:pPr>
      <w:r w:rsidRPr="001E57EA">
        <w:lastRenderedPageBreak/>
        <w:t xml:space="preserve">Pozivi na SOS telefon 1265 su besplatni, jer su u skladu sa Odlukom Vlade Federacije Bosne i Hercegovine o proglašenju broja SOS telefona 1265 brojem hitne </w:t>
      </w:r>
      <w:r w:rsidR="00013E15" w:rsidRPr="001E57EA">
        <w:t>prirode</w:t>
      </w:r>
      <w:r w:rsidRPr="001E57EA">
        <w:t xml:space="preserve">, telekom operateri omogućili da pozivi na ovaj broj budu besplatni, a Gender Centar Federacije BiH plaća godišnju naknadu Regulatornoj agenciji za komunikacije </w:t>
      </w:r>
      <w:r w:rsidR="007B4EB1" w:rsidRPr="001E57EA">
        <w:t xml:space="preserve">Bosne i Hercegovine </w:t>
      </w:r>
      <w:r w:rsidRPr="001E57EA">
        <w:t xml:space="preserve">za </w:t>
      </w:r>
      <w:r w:rsidR="007B4EB1" w:rsidRPr="001E57EA">
        <w:t xml:space="preserve">funkcioniranje </w:t>
      </w:r>
      <w:r w:rsidRPr="001E57EA">
        <w:t xml:space="preserve">kratkog koda 1265. Pozivi na SOS telefon 1265 se preusmjeravaju najbližem operateru, odnosno organizaciji koja u ovom sistemu pruža podršku, savjete i informacije u vezi </w:t>
      </w:r>
      <w:r w:rsidR="005B3D01" w:rsidRPr="001E57EA">
        <w:t xml:space="preserve">sa </w:t>
      </w:r>
      <w:r w:rsidRPr="001E57EA">
        <w:t>nasilj</w:t>
      </w:r>
      <w:r w:rsidR="005B3D01" w:rsidRPr="001E57EA">
        <w:t>em</w:t>
      </w:r>
      <w:r w:rsidRPr="001E57EA">
        <w:t xml:space="preserve">, a pozivi su mogući 24 sata na dan, </w:t>
      </w:r>
      <w:r w:rsidR="005B3D01" w:rsidRPr="001E57EA">
        <w:t xml:space="preserve">sedam </w:t>
      </w:r>
      <w:r w:rsidRPr="001E57EA">
        <w:t xml:space="preserve">dana u sedmici. Finansiranje rada operaterki nije </w:t>
      </w:r>
      <w:r w:rsidR="00064FB0" w:rsidRPr="001E57EA">
        <w:t xml:space="preserve">regulirano </w:t>
      </w:r>
      <w:r w:rsidRPr="001E57EA">
        <w:t xml:space="preserve">putem budžetskih sredstava, nego </w:t>
      </w:r>
      <w:r w:rsidR="00091D73" w:rsidRPr="001E57EA">
        <w:t>ga finansiraju davaoci usluga</w:t>
      </w:r>
      <w:r w:rsidRPr="001E57EA">
        <w:t xml:space="preserve">, odnosno </w:t>
      </w:r>
      <w:r w:rsidR="00013E15" w:rsidRPr="001E57EA">
        <w:t>cent</w:t>
      </w:r>
      <w:r w:rsidR="00091D73" w:rsidRPr="001E57EA">
        <w:t>ri</w:t>
      </w:r>
      <w:r w:rsidR="00013E15" w:rsidRPr="001E57EA">
        <w:t xml:space="preserve"> za socijalni rad i </w:t>
      </w:r>
      <w:r w:rsidRPr="001E57EA">
        <w:t>organizacij</w:t>
      </w:r>
      <w:r w:rsidR="00091D73" w:rsidRPr="001E57EA">
        <w:t>e</w:t>
      </w:r>
      <w:r w:rsidRPr="001E57EA">
        <w:t xml:space="preserve"> koje su potpisnice memoranduma. Osim pravnog rješavanja ovog servisa, čime bi se osiguralo i potpuno finansiranje usluge, potrebno je razmotriti i mogućnosti tehničkog unapređenja servisa.</w:t>
      </w:r>
    </w:p>
    <w:p w:rsidR="00453F80" w:rsidRPr="001E57EA" w:rsidRDefault="00453F80" w:rsidP="00BF3ED5">
      <w:pPr>
        <w:pStyle w:val="TekstStrategija"/>
      </w:pPr>
      <w:r w:rsidRPr="001E57EA">
        <w:t>Zakon</w:t>
      </w:r>
      <w:r w:rsidR="005B3D01" w:rsidRPr="001E57EA">
        <w:t>om</w:t>
      </w:r>
      <w:r w:rsidRPr="001E57EA">
        <w:t xml:space="preserve"> o dopunama Zakona o zaštiti od nasilja u porodici</w:t>
      </w:r>
      <w:r w:rsidRPr="001E57EA">
        <w:rPr>
          <w:rStyle w:val="FootnoteReference"/>
        </w:rPr>
        <w:footnoteReference w:id="44"/>
      </w:r>
      <w:r w:rsidR="005B3D01" w:rsidRPr="001E57EA">
        <w:t xml:space="preserve"> </w:t>
      </w:r>
      <w:r w:rsidRPr="001E57EA">
        <w:t xml:space="preserve">predviđen </w:t>
      </w:r>
      <w:r w:rsidR="005B3D01" w:rsidRPr="001E57EA">
        <w:t xml:space="preserve">je </w:t>
      </w:r>
      <w:r w:rsidRPr="001E57EA">
        <w:t xml:space="preserve">institut „osobe od povjerenja“, čime žrtva nasilja ima pravo odrediti osobu od povjerenja, člana porodice ili druge fizičke osobe ili zaposlenika organa starateljstva, institucije nadležne za socijalnu i zdravstvenu zaštitu, druge javne ustanove ili nevladine organizacije u koju žrtva ima povjerenje i kao takva može biti prisutna u svim postupcima u vezi </w:t>
      </w:r>
      <w:r w:rsidR="005B3D01" w:rsidRPr="001E57EA">
        <w:t xml:space="preserve">sa ostvarivanjem </w:t>
      </w:r>
      <w:r w:rsidRPr="001E57EA">
        <w:t xml:space="preserve">zaštite i podrške </w:t>
      </w:r>
      <w:r w:rsidR="005B3D01" w:rsidRPr="001E57EA">
        <w:t>zbog nasilja u porodici</w:t>
      </w:r>
      <w:r w:rsidRPr="001E57EA">
        <w:t>.</w:t>
      </w:r>
    </w:p>
    <w:p w:rsidR="006B66F0" w:rsidRPr="001E57EA" w:rsidRDefault="006B66F0" w:rsidP="008066CA">
      <w:pPr>
        <w:pStyle w:val="3naslov"/>
        <w:rPr>
          <w:rFonts w:cs="Arial"/>
        </w:rPr>
      </w:pPr>
      <w:bookmarkStart w:id="16" w:name="_Toc145323812"/>
      <w:r w:rsidRPr="001E57EA">
        <w:rPr>
          <w:rFonts w:cs="Arial"/>
        </w:rPr>
        <w:t>Istražne i pravosudne radnje</w:t>
      </w:r>
      <w:bookmarkEnd w:id="16"/>
    </w:p>
    <w:p w:rsidR="000D7D46" w:rsidRPr="001E57EA" w:rsidRDefault="000D7D46" w:rsidP="00BF3ED5">
      <w:pPr>
        <w:pStyle w:val="TekstStrategija"/>
      </w:pPr>
      <w:r w:rsidRPr="001E57EA">
        <w:t>Istražne i pravosudne radnje podra</w:t>
      </w:r>
      <w:r w:rsidR="00FA4560" w:rsidRPr="001E57EA">
        <w:t>z</w:t>
      </w:r>
      <w:r w:rsidRPr="001E57EA">
        <w:t>umijevaju brz i adekvatan odgovor institucija u provođenju zako</w:t>
      </w:r>
      <w:r w:rsidR="00380DE3" w:rsidRPr="001E57EA">
        <w:t>na kao odgovora na slučajeve na</w:t>
      </w:r>
      <w:r w:rsidRPr="001E57EA">
        <w:t>s</w:t>
      </w:r>
      <w:r w:rsidR="00380DE3" w:rsidRPr="001E57EA">
        <w:t>i</w:t>
      </w:r>
      <w:r w:rsidRPr="001E57EA">
        <w:t>lja u por</w:t>
      </w:r>
      <w:r w:rsidR="00402E74" w:rsidRPr="001E57EA">
        <w:t>odici, što obuhvata kako ranu p</w:t>
      </w:r>
      <w:r w:rsidRPr="001E57EA">
        <w:t>r</w:t>
      </w:r>
      <w:r w:rsidR="00402E74" w:rsidRPr="001E57EA">
        <w:t>o</w:t>
      </w:r>
      <w:r w:rsidRPr="001E57EA">
        <w:t xml:space="preserve">cjenu opasnosti, </w:t>
      </w:r>
      <w:r w:rsidR="00262157" w:rsidRPr="001E57EA">
        <w:t xml:space="preserve">tako i </w:t>
      </w:r>
      <w:r w:rsidR="005B3D01" w:rsidRPr="001E57EA">
        <w:t xml:space="preserve">reagiranje </w:t>
      </w:r>
      <w:r w:rsidRPr="001E57EA">
        <w:t>i procesuiranje slučajeva nasilja.</w:t>
      </w:r>
    </w:p>
    <w:p w:rsidR="00586543" w:rsidRPr="001E57EA" w:rsidRDefault="00586543" w:rsidP="008066CA">
      <w:pPr>
        <w:pStyle w:val="4naslov"/>
        <w:rPr>
          <w:rFonts w:cs="Arial"/>
          <w:lang w:val="bs-Latn-BA"/>
        </w:rPr>
      </w:pPr>
      <w:bookmarkStart w:id="17" w:name="_Toc145323813"/>
      <w:r w:rsidRPr="001E57EA">
        <w:rPr>
          <w:rFonts w:cs="Arial"/>
          <w:lang w:val="bs-Latn-BA"/>
        </w:rPr>
        <w:t>Postupak</w:t>
      </w:r>
      <w:r w:rsidR="00EE4FC2" w:rsidRPr="001E57EA">
        <w:rPr>
          <w:rFonts w:cs="Arial"/>
          <w:lang w:val="bs-Latn-BA"/>
        </w:rPr>
        <w:t xml:space="preserve"> zaštite u slučajevima nasilja u porodici</w:t>
      </w:r>
      <w:bookmarkEnd w:id="17"/>
    </w:p>
    <w:p w:rsidR="007F182D" w:rsidRPr="001E57EA" w:rsidRDefault="007F182D" w:rsidP="00BF3ED5">
      <w:pPr>
        <w:pStyle w:val="TekstStrategija"/>
      </w:pPr>
      <w:r w:rsidRPr="001E57EA">
        <w:t>Prema Zakonu o zaštiti od nasilja u porodici</w:t>
      </w:r>
      <w:r w:rsidR="005B3D01" w:rsidRPr="001E57EA">
        <w:t>,</w:t>
      </w:r>
      <w:r w:rsidR="00D35A29" w:rsidRPr="001E57EA">
        <w:t xml:space="preserve"> </w:t>
      </w:r>
      <w:r w:rsidRPr="001E57EA">
        <w:t xml:space="preserve">obavezu prijavljivanja nasilja u porodici imaju svi građani, profesionalci i članovi porodice, ali i sama žrtva. Ovdje je važno naglasiti da svako ko ne prijavi nasilje čini prekršaj, osim u slučaju da žrtva </w:t>
      </w:r>
      <w:r w:rsidR="00380DE3" w:rsidRPr="001E57EA">
        <w:t xml:space="preserve">nasilja </w:t>
      </w:r>
      <w:r w:rsidRPr="001E57EA">
        <w:t>ne prijavi nasilje, što znači da je jedino žrtva oslobođena ove vrste prekršajne odgovornosti.</w:t>
      </w:r>
    </w:p>
    <w:p w:rsidR="00586543" w:rsidRPr="001E57EA" w:rsidRDefault="00586543" w:rsidP="00A14DDA">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7</w:t>
      </w:r>
      <w:r w:rsidRPr="001E57EA">
        <w:fldChar w:fldCharType="end"/>
      </w:r>
      <w:r w:rsidR="00A14DDA" w:rsidRPr="001E57EA">
        <w:t>: Broj prijava slučajeva nasilja u porodici*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E57EA" w:rsidRPr="001E57EA" w:rsidTr="00921AC6">
        <w:tc>
          <w:tcPr>
            <w:tcW w:w="1666" w:type="pct"/>
            <w:shd w:val="clear" w:color="auto" w:fill="auto"/>
          </w:tcPr>
          <w:p w:rsidR="00057B15" w:rsidRPr="001E57EA" w:rsidRDefault="00057B15" w:rsidP="00BF3ED5">
            <w:pPr>
              <w:pStyle w:val="TekstStrategija"/>
              <w:rPr>
                <w:sz w:val="16"/>
              </w:rPr>
            </w:pPr>
            <w:r w:rsidRPr="001E57EA">
              <w:rPr>
                <w:sz w:val="16"/>
              </w:rPr>
              <w:t>2018.</w:t>
            </w:r>
          </w:p>
        </w:tc>
        <w:tc>
          <w:tcPr>
            <w:tcW w:w="1666" w:type="pct"/>
            <w:shd w:val="clear" w:color="auto" w:fill="auto"/>
          </w:tcPr>
          <w:p w:rsidR="00057B15" w:rsidRPr="001E57EA" w:rsidRDefault="00057B15" w:rsidP="00BF3ED5">
            <w:pPr>
              <w:pStyle w:val="TekstStrategija"/>
              <w:rPr>
                <w:sz w:val="16"/>
              </w:rPr>
            </w:pPr>
            <w:r w:rsidRPr="001E57EA">
              <w:rPr>
                <w:sz w:val="16"/>
              </w:rPr>
              <w:t>2019.</w:t>
            </w:r>
          </w:p>
        </w:tc>
        <w:tc>
          <w:tcPr>
            <w:tcW w:w="1667" w:type="pct"/>
            <w:shd w:val="clear" w:color="auto" w:fill="auto"/>
          </w:tcPr>
          <w:p w:rsidR="00057B15" w:rsidRPr="001E57EA" w:rsidRDefault="00057B15" w:rsidP="00BF3ED5">
            <w:pPr>
              <w:pStyle w:val="TekstStrategija"/>
              <w:rPr>
                <w:sz w:val="16"/>
              </w:rPr>
            </w:pPr>
            <w:r w:rsidRPr="001E57EA">
              <w:rPr>
                <w:sz w:val="16"/>
              </w:rPr>
              <w:t>2020.</w:t>
            </w:r>
          </w:p>
        </w:tc>
      </w:tr>
      <w:tr w:rsidR="001E57EA" w:rsidRPr="001E57EA" w:rsidTr="00921AC6">
        <w:tc>
          <w:tcPr>
            <w:tcW w:w="1666" w:type="pct"/>
            <w:shd w:val="clear" w:color="auto" w:fill="auto"/>
          </w:tcPr>
          <w:p w:rsidR="00057B15" w:rsidRPr="001E57EA" w:rsidRDefault="00057B15" w:rsidP="00BF3ED5">
            <w:pPr>
              <w:pStyle w:val="TekstStrategija"/>
              <w:rPr>
                <w:sz w:val="16"/>
              </w:rPr>
            </w:pPr>
            <w:r w:rsidRPr="001E57EA">
              <w:rPr>
                <w:sz w:val="16"/>
              </w:rPr>
              <w:t>1.242</w:t>
            </w:r>
          </w:p>
        </w:tc>
        <w:tc>
          <w:tcPr>
            <w:tcW w:w="1666" w:type="pct"/>
            <w:shd w:val="clear" w:color="auto" w:fill="auto"/>
          </w:tcPr>
          <w:p w:rsidR="00057B15" w:rsidRPr="001E57EA" w:rsidRDefault="00057B15" w:rsidP="00BF3ED5">
            <w:pPr>
              <w:pStyle w:val="TekstStrategija"/>
              <w:rPr>
                <w:sz w:val="16"/>
              </w:rPr>
            </w:pPr>
            <w:r w:rsidRPr="001E57EA">
              <w:rPr>
                <w:sz w:val="16"/>
              </w:rPr>
              <w:t>1.136</w:t>
            </w:r>
          </w:p>
        </w:tc>
        <w:tc>
          <w:tcPr>
            <w:tcW w:w="1667" w:type="pct"/>
            <w:shd w:val="clear" w:color="auto" w:fill="auto"/>
          </w:tcPr>
          <w:p w:rsidR="00057B15" w:rsidRPr="001E57EA" w:rsidRDefault="00057B15" w:rsidP="00BF3ED5">
            <w:pPr>
              <w:pStyle w:val="TekstStrategija"/>
              <w:rPr>
                <w:sz w:val="16"/>
              </w:rPr>
            </w:pPr>
            <w:r w:rsidRPr="001E57EA">
              <w:rPr>
                <w:sz w:val="16"/>
              </w:rPr>
              <w:t>1.798</w:t>
            </w:r>
          </w:p>
        </w:tc>
      </w:tr>
    </w:tbl>
    <w:p w:rsidR="00586543" w:rsidRPr="001E57EA" w:rsidRDefault="00A14DDA" w:rsidP="00BF3ED5">
      <w:pPr>
        <w:pStyle w:val="Napomena"/>
      </w:pPr>
      <w:r w:rsidRPr="001E57EA">
        <w:t xml:space="preserve">*Podaci kantonalnih ministarstava unutrašnjih poslova prema </w:t>
      </w:r>
      <w:r w:rsidR="00C31CB3" w:rsidRPr="001E57EA">
        <w:t>Član</w:t>
      </w:r>
      <w:r w:rsidRPr="001E57EA">
        <w:t>u 222. Krivičnog zakona FBiH.</w:t>
      </w:r>
    </w:p>
    <w:p w:rsidR="00057B15" w:rsidRPr="001E57EA" w:rsidRDefault="00057B15" w:rsidP="00BF3ED5">
      <w:pPr>
        <w:pStyle w:val="TekstStrategija"/>
      </w:pPr>
    </w:p>
    <w:p w:rsidR="00A45D85" w:rsidRPr="001E57EA" w:rsidRDefault="004C4A6C" w:rsidP="00BF3ED5">
      <w:pPr>
        <w:pStyle w:val="TekstStrategija"/>
      </w:pPr>
      <w:r w:rsidRPr="001E57EA">
        <w:t xml:space="preserve">Tabela </w:t>
      </w:r>
      <w:r w:rsidR="00367443" w:rsidRPr="001E57EA">
        <w:t>7</w:t>
      </w:r>
      <w:r w:rsidR="00380DE3" w:rsidRPr="001E57EA">
        <w:t xml:space="preserve"> </w:t>
      </w:r>
      <w:r w:rsidRPr="001E57EA">
        <w:t xml:space="preserve">pokazuje broj slučajeva nasilja u porodici koji su prijavljeni policiji, a najčešće se prijavljuju muškarci kao počinioci nasilja nad ženama. Detaljna analiza podataka o </w:t>
      </w:r>
      <w:r w:rsidR="00B31973" w:rsidRPr="001E57EA">
        <w:t>p</w:t>
      </w:r>
      <w:r w:rsidRPr="001E57EA">
        <w:t>r</w:t>
      </w:r>
      <w:r w:rsidR="00B31973" w:rsidRPr="001E57EA">
        <w:t>i</w:t>
      </w:r>
      <w:r w:rsidRPr="001E57EA">
        <w:t>javama pokazuje velike razlike u br</w:t>
      </w:r>
      <w:r w:rsidR="00B31973" w:rsidRPr="001E57EA">
        <w:t>o</w:t>
      </w:r>
      <w:r w:rsidRPr="001E57EA">
        <w:t>ju pr</w:t>
      </w:r>
      <w:r w:rsidR="00B31973" w:rsidRPr="001E57EA">
        <w:t>i</w:t>
      </w:r>
      <w:r w:rsidRPr="001E57EA">
        <w:t>javljenih slučajeva u odnosu na pojedine kantone</w:t>
      </w:r>
      <w:r w:rsidR="00B31973" w:rsidRPr="001E57EA">
        <w:t>,</w:t>
      </w:r>
      <w:r w:rsidR="00684580" w:rsidRPr="001E57EA">
        <w:t xml:space="preserve"> razliku između broja prijavljenih i procesuiranih slučajeva,</w:t>
      </w:r>
      <w:r w:rsidR="00B31973" w:rsidRPr="001E57EA">
        <w:t xml:space="preserve"> </w:t>
      </w:r>
      <w:r w:rsidR="00684580" w:rsidRPr="001E57EA">
        <w:t>kao</w:t>
      </w:r>
      <w:r w:rsidR="00B31973" w:rsidRPr="001E57EA">
        <w:t xml:space="preserve"> i odnose žrtava i počinioca nasilja (</w:t>
      </w:r>
      <w:r w:rsidR="005B3D01" w:rsidRPr="001E57EA">
        <w:t>žrtva</w:t>
      </w:r>
      <w:r w:rsidR="00B31973" w:rsidRPr="001E57EA">
        <w:t xml:space="preserve">: </w:t>
      </w:r>
      <w:r w:rsidRPr="001E57EA">
        <w:t xml:space="preserve">46% </w:t>
      </w:r>
      <w:r w:rsidR="005B3D01" w:rsidRPr="001E57EA">
        <w:t>supruga</w:t>
      </w:r>
      <w:r w:rsidRPr="001E57EA">
        <w:t xml:space="preserve">, 9% </w:t>
      </w:r>
      <w:r w:rsidR="005B3D01" w:rsidRPr="001E57EA">
        <w:t>majka</w:t>
      </w:r>
      <w:r w:rsidRPr="001E57EA">
        <w:t xml:space="preserve">, </w:t>
      </w:r>
      <w:r w:rsidR="00B31973" w:rsidRPr="001E57EA">
        <w:t xml:space="preserve">8% </w:t>
      </w:r>
      <w:r w:rsidR="005B3D01" w:rsidRPr="001E57EA">
        <w:t>vanbračna partnerica</w:t>
      </w:r>
      <w:r w:rsidR="00B31973" w:rsidRPr="001E57EA">
        <w:t xml:space="preserve">, </w:t>
      </w:r>
      <w:r w:rsidR="00B31973" w:rsidRPr="001E57EA">
        <w:lastRenderedPageBreak/>
        <w:t xml:space="preserve">8% suprug, </w:t>
      </w:r>
      <w:r w:rsidRPr="001E57EA">
        <w:t>7% kćer</w:t>
      </w:r>
      <w:r w:rsidR="00B31973" w:rsidRPr="001E57EA">
        <w:t>, 6% otac, 2% sestra, 2% brat, 1% vanbračni partner, 2% neko drugi; počini</w:t>
      </w:r>
      <w:r w:rsidR="005B3D01" w:rsidRPr="001E57EA">
        <w:t>lac</w:t>
      </w:r>
      <w:r w:rsidR="00B31973" w:rsidRPr="001E57EA">
        <w:t>: 55% suprug, 14% sin, 11% otac, 8% vanbračni partner, 4% brat, 1% kćer, 1% pastorak, 1% supruga, 1% unuk, 2% neko drugi</w:t>
      </w:r>
      <w:r w:rsidR="00B31973" w:rsidRPr="001E57EA">
        <w:rPr>
          <w:rStyle w:val="FootnoteReference"/>
        </w:rPr>
        <w:footnoteReference w:id="45"/>
      </w:r>
      <w:r w:rsidR="00B31973" w:rsidRPr="001E57EA">
        <w:t xml:space="preserve">). </w:t>
      </w:r>
      <w:r w:rsidR="007F182D" w:rsidRPr="001E57EA">
        <w:t xml:space="preserve">Svaki slučaj nasilja u porodici se prijavljuje policiji koja </w:t>
      </w:r>
      <w:r w:rsidR="00A35D34" w:rsidRPr="001E57EA">
        <w:t>izlazi</w:t>
      </w:r>
      <w:r w:rsidR="007F182D" w:rsidRPr="001E57EA">
        <w:t xml:space="preserve"> na lice mjesta, prikup</w:t>
      </w:r>
      <w:r w:rsidR="00A35D34" w:rsidRPr="001E57EA">
        <w:t>lja</w:t>
      </w:r>
      <w:r w:rsidR="007F182D" w:rsidRPr="001E57EA">
        <w:t xml:space="preserve"> dokaze, po potrebi uključ</w:t>
      </w:r>
      <w:r w:rsidR="00A35D34" w:rsidRPr="001E57EA">
        <w:t>uje</w:t>
      </w:r>
      <w:r w:rsidR="007F182D" w:rsidRPr="001E57EA">
        <w:t xml:space="preserve"> centar za socijalni rad, te </w:t>
      </w:r>
      <w:r w:rsidR="005B3D01" w:rsidRPr="001E57EA">
        <w:t xml:space="preserve">omogućava </w:t>
      </w:r>
      <w:r w:rsidR="007F182D" w:rsidRPr="001E57EA">
        <w:t>zdravstveni pregled žrtve, a osobu za koju postoje osnovi sumnje da je počinila nasi</w:t>
      </w:r>
      <w:r w:rsidR="00A35D34" w:rsidRPr="001E57EA">
        <w:t>lje u porodici, po potrebi, lišava</w:t>
      </w:r>
      <w:r w:rsidR="007F182D" w:rsidRPr="001E57EA">
        <w:t xml:space="preserve"> slobode. Za svaki prijavljeni slučaj nasilja u porodici, policija </w:t>
      </w:r>
      <w:r w:rsidR="00A35D34" w:rsidRPr="001E57EA">
        <w:t>podnosi</w:t>
      </w:r>
      <w:r w:rsidR="007F182D" w:rsidRPr="001E57EA">
        <w:t xml:space="preserve"> zahtjev za izricanje zaštitne mjere u roku od 12 sati nadležnom sudu prema mjestu na čijem području žrtva nasilja u porodici ima prebivalište ili boravište.</w:t>
      </w:r>
      <w:r w:rsidR="00EF6075" w:rsidRPr="001E57EA">
        <w:t xml:space="preserve"> Izuzetno, ovaj zahtjev </w:t>
      </w:r>
      <w:r w:rsidR="00380DE3" w:rsidRPr="001E57EA">
        <w:t>može podnijeti</w:t>
      </w:r>
      <w:r w:rsidR="00EF6075" w:rsidRPr="001E57EA">
        <w:t xml:space="preserve"> i tužilaštvo.</w:t>
      </w:r>
      <w:r w:rsidR="00976CA0" w:rsidRPr="001E57EA">
        <w:t xml:space="preserve"> </w:t>
      </w:r>
      <w:r w:rsidR="00A35D34" w:rsidRPr="001E57EA">
        <w:t xml:space="preserve">Nadležni sud u roku od 12 sati od prijema zahtjeva, izriče jednu ili više zaštitnih mjera iz </w:t>
      </w:r>
      <w:r w:rsidR="00C31CB3" w:rsidRPr="001E57EA">
        <w:t>Član</w:t>
      </w:r>
      <w:r w:rsidR="00A35D34" w:rsidRPr="001E57EA">
        <w:t>a 9. Zakona.</w:t>
      </w:r>
      <w:r w:rsidR="00A45D85" w:rsidRPr="001E57EA">
        <w:t xml:space="preserve"> Policija žrtvu nasilja u porodici obavezno upoznaje sa zakonskom </w:t>
      </w:r>
      <w:r w:rsidR="005B3D01" w:rsidRPr="001E57EA">
        <w:t xml:space="preserve">mogućnošću </w:t>
      </w:r>
      <w:r w:rsidR="00A45D85" w:rsidRPr="001E57EA">
        <w:t>da sebi odredi osobu od povjerenja, koja može biti prisutna u svim postupcima i radnjama, te joj davati podršku.</w:t>
      </w:r>
    </w:p>
    <w:p w:rsidR="00A14DDA" w:rsidRPr="001E57EA" w:rsidRDefault="00421B5C" w:rsidP="00BF3ED5">
      <w:pPr>
        <w:pStyle w:val="TekstStrategija"/>
      </w:pPr>
      <w:r w:rsidRPr="001E57EA">
        <w:t xml:space="preserve">Važno je naglasiti da je postupak zaštite žrtve nasilja prema ovom zakonu neovisan o krivičnom postupku, odnosno dokazivanje krivice u krivičnom postupku nije </w:t>
      </w:r>
      <w:r w:rsidR="00064FB0" w:rsidRPr="001E57EA">
        <w:t>uvjet</w:t>
      </w:r>
      <w:r w:rsidRPr="001E57EA">
        <w:t xml:space="preserve"> za izricanje zaštitnih mjera, koje su hitne prirode i imaju za cilj stvaranje sigurnog okruženja za žrtvu. Nasilje u porodici je specifično krivično djelo, a jedinstveno je po tome da žrtva i počinilac imaju zajedničku historiju i najčešće nastavljaju živjeti zajedno, stoga je i potreban mehanizam zaštite do </w:t>
      </w:r>
      <w:r w:rsidR="00064FB0" w:rsidRPr="001E57EA">
        <w:t xml:space="preserve">stjecanja uvjeta </w:t>
      </w:r>
      <w:r w:rsidRPr="001E57EA">
        <w:t xml:space="preserve">za ponovni kontakt. </w:t>
      </w:r>
      <w:r w:rsidR="00C570A8" w:rsidRPr="001E57EA">
        <w:t>P</w:t>
      </w:r>
      <w:r w:rsidR="00753FDE" w:rsidRPr="001E57EA">
        <w:t xml:space="preserve">olicija neovisno o zahtjevu za izricanjem zaštitnih mjera sačinjava izvještaj o počinjenom krivičnom djelu i dostavlja ga nadležnom tužilaštvu koje odlučuje o pokretanju optužnice. </w:t>
      </w:r>
      <w:r w:rsidR="0086368B" w:rsidRPr="001E57EA">
        <w:t xml:space="preserve">Tužilaštvo zatim preduzima dalje mjere i radnje s ciljem prikupljanja materijalnih dokaza, od čega zavisi da li će se istražni postupak okončati podizanjem optužnice ili će se istraga obustaviti. Također, tužilaštvo će iskoristiti sve mehanizme koje omogućava krivični postupak kako bi se onemogućilo dalje činjenje krivičnog djela, odnosno </w:t>
      </w:r>
      <w:r w:rsidR="00C570A8" w:rsidRPr="001E57EA">
        <w:t xml:space="preserve">počinioca </w:t>
      </w:r>
      <w:r w:rsidR="0086368B" w:rsidRPr="001E57EA">
        <w:t>nasilja lištiti slobode 24 sata. Međutim, s obzirom</w:t>
      </w:r>
      <w:r w:rsidR="00A35D34" w:rsidRPr="001E57EA">
        <w:t xml:space="preserve"> </w:t>
      </w:r>
      <w:r w:rsidR="00091D73" w:rsidRPr="001E57EA">
        <w:t xml:space="preserve">na to </w:t>
      </w:r>
      <w:r w:rsidR="00A35D34" w:rsidRPr="001E57EA">
        <w:t xml:space="preserve">da su zaštitne mjere </w:t>
      </w:r>
      <w:r w:rsidR="00064FB0" w:rsidRPr="001E57EA">
        <w:t xml:space="preserve">regulirane </w:t>
      </w:r>
      <w:r w:rsidR="0086368B" w:rsidRPr="001E57EA">
        <w:t>Zakonom o zaštiti od nas</w:t>
      </w:r>
      <w:r w:rsidR="00FD569A" w:rsidRPr="001E57EA">
        <w:t>i</w:t>
      </w:r>
      <w:r w:rsidR="0086368B" w:rsidRPr="001E57EA">
        <w:t xml:space="preserve">lja u porodici, zaštitna mjera se ne može izreći u krivičnom postupku koji je redovan postupak za počinioce nasilja u porodici, </w:t>
      </w:r>
      <w:r w:rsidR="004426EC" w:rsidRPr="001E57EA">
        <w:t xml:space="preserve">nego </w:t>
      </w:r>
      <w:r w:rsidR="0086368B" w:rsidRPr="001E57EA">
        <w:t>izricanje zaštitnih mjera rad</w:t>
      </w:r>
      <w:r w:rsidR="00091D73" w:rsidRPr="001E57EA">
        <w:t xml:space="preserve">e </w:t>
      </w:r>
      <w:r w:rsidR="0086368B" w:rsidRPr="001E57EA">
        <w:t>sudov</w:t>
      </w:r>
      <w:r w:rsidR="00091D73" w:rsidRPr="001E57EA">
        <w:t>i</w:t>
      </w:r>
      <w:r w:rsidR="0086368B" w:rsidRPr="001E57EA">
        <w:t xml:space="preserve"> za prekršaje</w:t>
      </w:r>
      <w:r w:rsidR="004426EC" w:rsidRPr="001E57EA">
        <w:t xml:space="preserve">. </w:t>
      </w:r>
    </w:p>
    <w:p w:rsidR="00A14DDA" w:rsidRPr="001E57EA" w:rsidRDefault="00A14DDA" w:rsidP="00A14DDA">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8</w:t>
      </w:r>
      <w:r w:rsidRPr="001E57EA">
        <w:fldChar w:fldCharType="end"/>
      </w:r>
      <w:r w:rsidRPr="001E57EA">
        <w:t>: Broj podnesenih izvještaja o počinjenom krivičnom djelu*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E57EA" w:rsidRPr="001E57EA" w:rsidTr="00921AC6">
        <w:tc>
          <w:tcPr>
            <w:tcW w:w="3005" w:type="dxa"/>
            <w:shd w:val="clear" w:color="auto" w:fill="auto"/>
          </w:tcPr>
          <w:p w:rsidR="00A14DDA" w:rsidRPr="001E57EA" w:rsidRDefault="00A14DDA" w:rsidP="00BF3ED5">
            <w:pPr>
              <w:pStyle w:val="TekstStrategija"/>
              <w:rPr>
                <w:sz w:val="16"/>
              </w:rPr>
            </w:pPr>
            <w:r w:rsidRPr="001E57EA">
              <w:rPr>
                <w:sz w:val="16"/>
              </w:rPr>
              <w:t>2018.</w:t>
            </w:r>
          </w:p>
        </w:tc>
        <w:tc>
          <w:tcPr>
            <w:tcW w:w="3005" w:type="dxa"/>
            <w:shd w:val="clear" w:color="auto" w:fill="auto"/>
          </w:tcPr>
          <w:p w:rsidR="00A14DDA" w:rsidRPr="001E57EA" w:rsidRDefault="00A14DDA" w:rsidP="00BF3ED5">
            <w:pPr>
              <w:pStyle w:val="TekstStrategija"/>
              <w:rPr>
                <w:sz w:val="16"/>
              </w:rPr>
            </w:pPr>
            <w:r w:rsidRPr="001E57EA">
              <w:rPr>
                <w:sz w:val="16"/>
              </w:rPr>
              <w:t>201</w:t>
            </w:r>
            <w:r w:rsidR="008748EC" w:rsidRPr="001E57EA">
              <w:rPr>
                <w:sz w:val="16"/>
              </w:rPr>
              <w:t>9</w:t>
            </w:r>
            <w:r w:rsidRPr="001E57EA">
              <w:rPr>
                <w:sz w:val="16"/>
              </w:rPr>
              <w:t>.</w:t>
            </w:r>
          </w:p>
        </w:tc>
        <w:tc>
          <w:tcPr>
            <w:tcW w:w="3006" w:type="dxa"/>
            <w:shd w:val="clear" w:color="auto" w:fill="auto"/>
          </w:tcPr>
          <w:p w:rsidR="00A14DDA" w:rsidRPr="001E57EA" w:rsidRDefault="00A14DDA" w:rsidP="00BF3ED5">
            <w:pPr>
              <w:pStyle w:val="TekstStrategija"/>
              <w:rPr>
                <w:sz w:val="16"/>
              </w:rPr>
            </w:pPr>
            <w:r w:rsidRPr="001E57EA">
              <w:rPr>
                <w:sz w:val="16"/>
              </w:rPr>
              <w:t>2020.</w:t>
            </w:r>
          </w:p>
        </w:tc>
      </w:tr>
      <w:tr w:rsidR="001E57EA" w:rsidRPr="001E57EA" w:rsidTr="00921AC6">
        <w:tc>
          <w:tcPr>
            <w:tcW w:w="3005" w:type="dxa"/>
            <w:shd w:val="clear" w:color="auto" w:fill="auto"/>
          </w:tcPr>
          <w:p w:rsidR="00A14DDA" w:rsidRPr="001E57EA" w:rsidRDefault="00A14DDA" w:rsidP="00BF3ED5">
            <w:pPr>
              <w:pStyle w:val="TekstStrategija"/>
              <w:rPr>
                <w:sz w:val="16"/>
              </w:rPr>
            </w:pPr>
            <w:r w:rsidRPr="001E57EA">
              <w:rPr>
                <w:sz w:val="16"/>
              </w:rPr>
              <w:t>829</w:t>
            </w:r>
          </w:p>
        </w:tc>
        <w:tc>
          <w:tcPr>
            <w:tcW w:w="3005" w:type="dxa"/>
            <w:shd w:val="clear" w:color="auto" w:fill="auto"/>
          </w:tcPr>
          <w:p w:rsidR="00A14DDA" w:rsidRPr="001E57EA" w:rsidRDefault="00A14DDA" w:rsidP="00BF3ED5">
            <w:pPr>
              <w:pStyle w:val="TekstStrategija"/>
              <w:rPr>
                <w:sz w:val="16"/>
              </w:rPr>
            </w:pPr>
            <w:r w:rsidRPr="001E57EA">
              <w:rPr>
                <w:sz w:val="16"/>
              </w:rPr>
              <w:t>576</w:t>
            </w:r>
          </w:p>
        </w:tc>
        <w:tc>
          <w:tcPr>
            <w:tcW w:w="3006" w:type="dxa"/>
            <w:shd w:val="clear" w:color="auto" w:fill="auto"/>
          </w:tcPr>
          <w:p w:rsidR="00A14DDA" w:rsidRPr="001E57EA" w:rsidRDefault="00057B15" w:rsidP="00BF3ED5">
            <w:pPr>
              <w:pStyle w:val="TekstStrategija"/>
              <w:rPr>
                <w:sz w:val="16"/>
              </w:rPr>
            </w:pPr>
            <w:r w:rsidRPr="001E57EA">
              <w:rPr>
                <w:sz w:val="16"/>
              </w:rPr>
              <w:t>971</w:t>
            </w:r>
          </w:p>
        </w:tc>
      </w:tr>
    </w:tbl>
    <w:p w:rsidR="00A14DDA" w:rsidRPr="001E57EA" w:rsidRDefault="00A14DDA" w:rsidP="00BF3ED5">
      <w:pPr>
        <w:pStyle w:val="Napomena"/>
      </w:pPr>
      <w:r w:rsidRPr="001E57EA">
        <w:t xml:space="preserve">*Podaci kantonalnih ministarstava unutrašnjih poslova prema </w:t>
      </w:r>
      <w:r w:rsidR="00C31CB3" w:rsidRPr="001E57EA">
        <w:t>Član</w:t>
      </w:r>
      <w:r w:rsidRPr="001E57EA">
        <w:t>u 222. Krivičnog zakona FBiH.</w:t>
      </w:r>
    </w:p>
    <w:p w:rsidR="008B6A23" w:rsidRPr="001E57EA" w:rsidRDefault="008B6A23" w:rsidP="008B6A23">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9</w:t>
      </w:r>
      <w:r w:rsidRPr="001E57EA">
        <w:fldChar w:fldCharType="end"/>
      </w:r>
      <w:r w:rsidRPr="001E57EA">
        <w:t>: Broj podignutih optužnica*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E57EA" w:rsidRPr="001E57EA" w:rsidTr="00921AC6">
        <w:tc>
          <w:tcPr>
            <w:tcW w:w="3005" w:type="dxa"/>
            <w:shd w:val="clear" w:color="auto" w:fill="auto"/>
          </w:tcPr>
          <w:p w:rsidR="008B6A23" w:rsidRPr="001E57EA" w:rsidRDefault="008B6A23" w:rsidP="00BF3ED5">
            <w:pPr>
              <w:pStyle w:val="TekstStrategija"/>
              <w:rPr>
                <w:sz w:val="16"/>
              </w:rPr>
            </w:pPr>
            <w:r w:rsidRPr="001E57EA">
              <w:rPr>
                <w:sz w:val="16"/>
              </w:rPr>
              <w:t>2018.</w:t>
            </w:r>
          </w:p>
        </w:tc>
        <w:tc>
          <w:tcPr>
            <w:tcW w:w="3005" w:type="dxa"/>
            <w:shd w:val="clear" w:color="auto" w:fill="auto"/>
          </w:tcPr>
          <w:p w:rsidR="008B6A23" w:rsidRPr="001E57EA" w:rsidRDefault="008B6A23" w:rsidP="00BF3ED5">
            <w:pPr>
              <w:pStyle w:val="TekstStrategija"/>
              <w:rPr>
                <w:sz w:val="16"/>
              </w:rPr>
            </w:pPr>
            <w:r w:rsidRPr="001E57EA">
              <w:rPr>
                <w:sz w:val="16"/>
              </w:rPr>
              <w:t>2019.</w:t>
            </w:r>
          </w:p>
        </w:tc>
        <w:tc>
          <w:tcPr>
            <w:tcW w:w="3006" w:type="dxa"/>
            <w:shd w:val="clear" w:color="auto" w:fill="auto"/>
          </w:tcPr>
          <w:p w:rsidR="008B6A23" w:rsidRPr="001E57EA" w:rsidRDefault="008B6A23" w:rsidP="00BF3ED5">
            <w:pPr>
              <w:pStyle w:val="TekstStrategija"/>
              <w:rPr>
                <w:sz w:val="16"/>
              </w:rPr>
            </w:pPr>
            <w:r w:rsidRPr="001E57EA">
              <w:rPr>
                <w:sz w:val="16"/>
              </w:rPr>
              <w:t>2020.</w:t>
            </w:r>
          </w:p>
        </w:tc>
      </w:tr>
      <w:tr w:rsidR="001E57EA" w:rsidRPr="001E57EA" w:rsidTr="00921AC6">
        <w:tc>
          <w:tcPr>
            <w:tcW w:w="3005" w:type="dxa"/>
            <w:shd w:val="clear" w:color="auto" w:fill="auto"/>
          </w:tcPr>
          <w:p w:rsidR="008B6A23" w:rsidRPr="001E57EA" w:rsidRDefault="008B6A23" w:rsidP="00BF3ED5">
            <w:pPr>
              <w:pStyle w:val="TekstStrategija"/>
              <w:rPr>
                <w:sz w:val="16"/>
              </w:rPr>
            </w:pPr>
            <w:r w:rsidRPr="001E57EA">
              <w:rPr>
                <w:sz w:val="16"/>
              </w:rPr>
              <w:t>487</w:t>
            </w:r>
          </w:p>
        </w:tc>
        <w:tc>
          <w:tcPr>
            <w:tcW w:w="3005" w:type="dxa"/>
            <w:shd w:val="clear" w:color="auto" w:fill="auto"/>
          </w:tcPr>
          <w:p w:rsidR="008B6A23" w:rsidRPr="001E57EA" w:rsidRDefault="008B6A23" w:rsidP="00BF3ED5">
            <w:pPr>
              <w:pStyle w:val="TekstStrategija"/>
              <w:rPr>
                <w:sz w:val="16"/>
              </w:rPr>
            </w:pPr>
            <w:r w:rsidRPr="001E57EA">
              <w:rPr>
                <w:sz w:val="16"/>
              </w:rPr>
              <w:t>561</w:t>
            </w:r>
          </w:p>
        </w:tc>
        <w:tc>
          <w:tcPr>
            <w:tcW w:w="3006" w:type="dxa"/>
            <w:shd w:val="clear" w:color="auto" w:fill="auto"/>
          </w:tcPr>
          <w:p w:rsidR="008B6A23" w:rsidRPr="001E57EA" w:rsidRDefault="000A45C1" w:rsidP="00BF3ED5">
            <w:pPr>
              <w:pStyle w:val="TekstStrategija"/>
              <w:rPr>
                <w:sz w:val="16"/>
              </w:rPr>
            </w:pPr>
            <w:r w:rsidRPr="001E57EA">
              <w:rPr>
                <w:sz w:val="16"/>
              </w:rPr>
              <w:t>561</w:t>
            </w:r>
          </w:p>
        </w:tc>
      </w:tr>
    </w:tbl>
    <w:p w:rsidR="008B6A23" w:rsidRPr="001E57EA" w:rsidRDefault="008B6A23" w:rsidP="00BF3ED5">
      <w:pPr>
        <w:pStyle w:val="Napomena"/>
      </w:pPr>
      <w:r w:rsidRPr="001E57EA">
        <w:t xml:space="preserve">*Podaci kantonalnih tužilaštava prema </w:t>
      </w:r>
      <w:r w:rsidR="00C31CB3" w:rsidRPr="001E57EA">
        <w:t>Član</w:t>
      </w:r>
      <w:r w:rsidRPr="001E57EA">
        <w:t>u 222. Krivičnog zakona FBiH.</w:t>
      </w:r>
    </w:p>
    <w:p w:rsidR="00987169" w:rsidRPr="001E57EA" w:rsidRDefault="00987169" w:rsidP="00BF3ED5">
      <w:pPr>
        <w:pStyle w:val="TekstStrategija"/>
      </w:pPr>
    </w:p>
    <w:p w:rsidR="00352BF9" w:rsidRPr="001E57EA" w:rsidRDefault="00B31973" w:rsidP="00BF3ED5">
      <w:pPr>
        <w:pStyle w:val="TekstStrategija"/>
      </w:pPr>
      <w:r w:rsidRPr="001E57EA">
        <w:t xml:space="preserve">Iz </w:t>
      </w:r>
      <w:r w:rsidR="00C31CB3" w:rsidRPr="001E57EA">
        <w:t>T</w:t>
      </w:r>
      <w:r w:rsidRPr="001E57EA">
        <w:t>abel</w:t>
      </w:r>
      <w:r w:rsidR="00C31CB3" w:rsidRPr="001E57EA">
        <w:t>e</w:t>
      </w:r>
      <w:r w:rsidR="00380DE3" w:rsidRPr="001E57EA">
        <w:t xml:space="preserve"> </w:t>
      </w:r>
      <w:r w:rsidR="00367443" w:rsidRPr="001E57EA">
        <w:t>8</w:t>
      </w:r>
      <w:r w:rsidR="00380DE3" w:rsidRPr="001E57EA">
        <w:t xml:space="preserve"> i </w:t>
      </w:r>
      <w:r w:rsidR="00C31CB3" w:rsidRPr="001E57EA">
        <w:t xml:space="preserve">Tabele </w:t>
      </w:r>
      <w:r w:rsidR="00367443" w:rsidRPr="001E57EA">
        <w:t>9</w:t>
      </w:r>
      <w:r w:rsidRPr="001E57EA">
        <w:t xml:space="preserve"> je vidljivo kako broj podnesenih izvještaja o po</w:t>
      </w:r>
      <w:r w:rsidR="00352BF9" w:rsidRPr="001E57EA">
        <w:t>činjenom krivičnom djelu opada, te na kraju sa</w:t>
      </w:r>
      <w:r w:rsidR="00A45D85" w:rsidRPr="001E57EA">
        <w:t>mo oko 33% slučajeva koji se pri</w:t>
      </w:r>
      <w:r w:rsidR="00352BF9" w:rsidRPr="001E57EA">
        <w:t xml:space="preserve">jave rezultira nekom od krivičnih sankcija. </w:t>
      </w:r>
      <w:r w:rsidR="00421B5C" w:rsidRPr="001E57EA">
        <w:t xml:space="preserve">Nasilje u porodici kao krivično djelo </w:t>
      </w:r>
      <w:r w:rsidR="00064FB0" w:rsidRPr="001E57EA">
        <w:t xml:space="preserve">definirano </w:t>
      </w:r>
      <w:r w:rsidR="00421B5C" w:rsidRPr="001E57EA">
        <w:t xml:space="preserve">je </w:t>
      </w:r>
      <w:r w:rsidR="00C31CB3" w:rsidRPr="001E57EA">
        <w:t>Član</w:t>
      </w:r>
      <w:r w:rsidR="00421B5C" w:rsidRPr="001E57EA">
        <w:t>om 222. Krivičnog zakona</w:t>
      </w:r>
      <w:r w:rsidR="00753FDE" w:rsidRPr="001E57EA">
        <w:rPr>
          <w:rStyle w:val="FootnoteReference"/>
        </w:rPr>
        <w:footnoteReference w:id="46"/>
      </w:r>
      <w:r w:rsidR="00BD18C6" w:rsidRPr="001E57EA">
        <w:t xml:space="preserve"> kao materijalnog zakona, dok je procesni dio </w:t>
      </w:r>
      <w:r w:rsidR="00064FB0" w:rsidRPr="001E57EA">
        <w:t xml:space="preserve">reguliran </w:t>
      </w:r>
      <w:r w:rsidR="00BD18C6" w:rsidRPr="001E57EA">
        <w:lastRenderedPageBreak/>
        <w:t>Zakonom o krivičnom postupku</w:t>
      </w:r>
      <w:r w:rsidR="00753FDE" w:rsidRPr="001E57EA">
        <w:t>. Sankcija koju propisuje Krivični zakon za kriv</w:t>
      </w:r>
      <w:r w:rsidR="00622229" w:rsidRPr="001E57EA">
        <w:t>i</w:t>
      </w:r>
      <w:r w:rsidR="00753FDE" w:rsidRPr="001E57EA">
        <w:t>čno djelo nasilja u porodici je novčana kazna ili kazna zatvora do pet godina, ovisno o vrsti djela. Nasilje u porodici koje je uzrokovalo smrt žrtve, kažnjava se kaznom zatvora od dvije do petnaest godina. Međutim, ukoliko je smrti žrtve prethodilo zlostavljanje, kažnjivo je kaznom od najmanje deset godina zatvora ili kaznom dugotrajnog zatvora.</w:t>
      </w:r>
      <w:r w:rsidR="00380DE3" w:rsidRPr="001E57EA">
        <w:t xml:space="preserve"> U T</w:t>
      </w:r>
      <w:r w:rsidR="00622229" w:rsidRPr="001E57EA">
        <w:t xml:space="preserve">abeli </w:t>
      </w:r>
      <w:r w:rsidR="00367443" w:rsidRPr="001E57EA">
        <w:t>10</w:t>
      </w:r>
      <w:r w:rsidR="005B3D01" w:rsidRPr="001E57EA">
        <w:t xml:space="preserve">, </w:t>
      </w:r>
      <w:r w:rsidR="00622229" w:rsidRPr="001E57EA">
        <w:t xml:space="preserve">prikazano </w:t>
      </w:r>
      <w:r w:rsidR="005B3D01" w:rsidRPr="001E57EA">
        <w:t xml:space="preserve">je </w:t>
      </w:r>
      <w:r w:rsidR="00622229" w:rsidRPr="001E57EA">
        <w:t>kretanje broja osuđujući</w:t>
      </w:r>
      <w:r w:rsidR="00262157" w:rsidRPr="001E57EA">
        <w:t xml:space="preserve">h </w:t>
      </w:r>
      <w:r w:rsidR="00622229" w:rsidRPr="001E57EA">
        <w:t xml:space="preserve">presuda po godinama, te je vidljiv značajan broj </w:t>
      </w:r>
      <w:r w:rsidR="00064FB0" w:rsidRPr="001E57EA">
        <w:t>uvjet</w:t>
      </w:r>
      <w:r w:rsidR="00622229" w:rsidRPr="001E57EA">
        <w:t>nih presuda</w:t>
      </w:r>
      <w:r w:rsidR="00622229" w:rsidRPr="001E57EA">
        <w:rPr>
          <w:rStyle w:val="FootnoteReference"/>
        </w:rPr>
        <w:footnoteReference w:id="47"/>
      </w:r>
      <w:r w:rsidR="00622229" w:rsidRPr="001E57EA">
        <w:t>.</w:t>
      </w:r>
    </w:p>
    <w:p w:rsidR="008B6A23" w:rsidRPr="001E57EA" w:rsidRDefault="008B6A23" w:rsidP="008B6A23">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10</w:t>
      </w:r>
      <w:r w:rsidRPr="001E57EA">
        <w:fldChar w:fldCharType="end"/>
      </w:r>
      <w:r w:rsidRPr="001E57EA">
        <w:t>: Broj osuđujućih presuda*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84"/>
        <w:gridCol w:w="670"/>
        <w:gridCol w:w="1310"/>
        <w:gridCol w:w="1371"/>
        <w:gridCol w:w="3249"/>
      </w:tblGrid>
      <w:tr w:rsidR="001E57EA" w:rsidRPr="001E57EA" w:rsidTr="00432FB6">
        <w:tc>
          <w:tcPr>
            <w:tcW w:w="0" w:type="auto"/>
            <w:shd w:val="clear" w:color="auto" w:fill="auto"/>
          </w:tcPr>
          <w:p w:rsidR="00367443" w:rsidRPr="001E57EA" w:rsidRDefault="00367443" w:rsidP="00432FB6">
            <w:pPr>
              <w:pStyle w:val="TekstStrategija"/>
              <w:rPr>
                <w:sz w:val="16"/>
              </w:rPr>
            </w:pPr>
            <w:r w:rsidRPr="001E57EA">
              <w:rPr>
                <w:sz w:val="16"/>
              </w:rPr>
              <w:t>Godina</w:t>
            </w:r>
          </w:p>
        </w:tc>
        <w:tc>
          <w:tcPr>
            <w:tcW w:w="0" w:type="auto"/>
            <w:shd w:val="clear" w:color="auto" w:fill="auto"/>
          </w:tcPr>
          <w:p w:rsidR="00367443" w:rsidRPr="001E57EA" w:rsidRDefault="00367443" w:rsidP="00432FB6">
            <w:pPr>
              <w:pStyle w:val="TekstStrategija"/>
              <w:rPr>
                <w:sz w:val="16"/>
              </w:rPr>
            </w:pPr>
            <w:r w:rsidRPr="001E57EA">
              <w:rPr>
                <w:sz w:val="16"/>
              </w:rPr>
              <w:t>Ukupan broj sankcija</w:t>
            </w:r>
          </w:p>
        </w:tc>
        <w:tc>
          <w:tcPr>
            <w:tcW w:w="0" w:type="auto"/>
            <w:shd w:val="clear" w:color="auto" w:fill="auto"/>
          </w:tcPr>
          <w:p w:rsidR="00367443" w:rsidRPr="001E57EA" w:rsidRDefault="00367443" w:rsidP="00432FB6">
            <w:pPr>
              <w:pStyle w:val="TekstStrategija"/>
              <w:rPr>
                <w:sz w:val="16"/>
              </w:rPr>
            </w:pPr>
            <w:r w:rsidRPr="001E57EA">
              <w:rPr>
                <w:sz w:val="16"/>
              </w:rPr>
              <w:t>Zatvor</w:t>
            </w:r>
          </w:p>
        </w:tc>
        <w:tc>
          <w:tcPr>
            <w:tcW w:w="0" w:type="auto"/>
            <w:shd w:val="clear" w:color="auto" w:fill="auto"/>
          </w:tcPr>
          <w:p w:rsidR="00367443" w:rsidRPr="001E57EA" w:rsidRDefault="00367443" w:rsidP="00432FB6">
            <w:pPr>
              <w:pStyle w:val="TekstStrategija"/>
              <w:rPr>
                <w:sz w:val="16"/>
              </w:rPr>
            </w:pPr>
            <w:r w:rsidRPr="001E57EA">
              <w:rPr>
                <w:sz w:val="16"/>
              </w:rPr>
              <w:t>Novčana kazna</w:t>
            </w:r>
          </w:p>
        </w:tc>
        <w:tc>
          <w:tcPr>
            <w:tcW w:w="0" w:type="auto"/>
            <w:shd w:val="clear" w:color="auto" w:fill="auto"/>
          </w:tcPr>
          <w:p w:rsidR="00367443" w:rsidRPr="001E57EA" w:rsidRDefault="00367443" w:rsidP="00432FB6">
            <w:pPr>
              <w:pStyle w:val="TekstStrategija"/>
              <w:rPr>
                <w:sz w:val="16"/>
              </w:rPr>
            </w:pPr>
            <w:r w:rsidRPr="001E57EA">
              <w:rPr>
                <w:sz w:val="16"/>
              </w:rPr>
              <w:t>Uvjetna presuda</w:t>
            </w:r>
          </w:p>
        </w:tc>
        <w:tc>
          <w:tcPr>
            <w:tcW w:w="0" w:type="auto"/>
            <w:shd w:val="clear" w:color="auto" w:fill="auto"/>
          </w:tcPr>
          <w:p w:rsidR="00367443" w:rsidRPr="001E57EA" w:rsidRDefault="00367443" w:rsidP="00432FB6">
            <w:pPr>
              <w:pStyle w:val="TekstStrategija"/>
              <w:rPr>
                <w:sz w:val="16"/>
              </w:rPr>
            </w:pPr>
            <w:r w:rsidRPr="001E57EA">
              <w:rPr>
                <w:sz w:val="16"/>
              </w:rPr>
              <w:t>Drugo (mjera upozorenja i mjere sigurnosti)</w:t>
            </w:r>
          </w:p>
        </w:tc>
      </w:tr>
      <w:tr w:rsidR="001E57EA" w:rsidRPr="001E57EA" w:rsidTr="00432FB6">
        <w:tc>
          <w:tcPr>
            <w:tcW w:w="0" w:type="auto"/>
            <w:shd w:val="clear" w:color="auto" w:fill="auto"/>
          </w:tcPr>
          <w:p w:rsidR="00367443" w:rsidRPr="001E57EA" w:rsidRDefault="00367443" w:rsidP="00432FB6">
            <w:pPr>
              <w:pStyle w:val="TekstStrategija"/>
              <w:rPr>
                <w:sz w:val="16"/>
              </w:rPr>
            </w:pPr>
            <w:r w:rsidRPr="001E57EA">
              <w:rPr>
                <w:sz w:val="16"/>
              </w:rPr>
              <w:t>2018.</w:t>
            </w:r>
          </w:p>
        </w:tc>
        <w:tc>
          <w:tcPr>
            <w:tcW w:w="0" w:type="auto"/>
            <w:shd w:val="clear" w:color="auto" w:fill="auto"/>
          </w:tcPr>
          <w:p w:rsidR="00367443" w:rsidRPr="001E57EA" w:rsidRDefault="00367443" w:rsidP="00432FB6">
            <w:pPr>
              <w:pStyle w:val="TekstStrategija"/>
              <w:rPr>
                <w:sz w:val="16"/>
              </w:rPr>
            </w:pPr>
            <w:r w:rsidRPr="001E57EA">
              <w:rPr>
                <w:sz w:val="16"/>
              </w:rPr>
              <w:t>441</w:t>
            </w:r>
          </w:p>
        </w:tc>
        <w:tc>
          <w:tcPr>
            <w:tcW w:w="0" w:type="auto"/>
            <w:shd w:val="clear" w:color="auto" w:fill="auto"/>
          </w:tcPr>
          <w:p w:rsidR="00367443" w:rsidRPr="001E57EA" w:rsidRDefault="00367443" w:rsidP="00432FB6">
            <w:pPr>
              <w:pStyle w:val="TekstStrategija"/>
              <w:rPr>
                <w:sz w:val="16"/>
              </w:rPr>
            </w:pPr>
            <w:r w:rsidRPr="001E57EA">
              <w:rPr>
                <w:sz w:val="16"/>
              </w:rPr>
              <w:t>15%</w:t>
            </w:r>
          </w:p>
        </w:tc>
        <w:tc>
          <w:tcPr>
            <w:tcW w:w="0" w:type="auto"/>
            <w:shd w:val="clear" w:color="auto" w:fill="auto"/>
          </w:tcPr>
          <w:p w:rsidR="00367443" w:rsidRPr="001E57EA" w:rsidRDefault="00367443" w:rsidP="00432FB6">
            <w:pPr>
              <w:pStyle w:val="TekstStrategija"/>
              <w:rPr>
                <w:sz w:val="16"/>
              </w:rPr>
            </w:pPr>
            <w:r w:rsidRPr="001E57EA">
              <w:rPr>
                <w:sz w:val="16"/>
              </w:rPr>
              <w:t>8%</w:t>
            </w:r>
          </w:p>
        </w:tc>
        <w:tc>
          <w:tcPr>
            <w:tcW w:w="0" w:type="auto"/>
            <w:shd w:val="clear" w:color="auto" w:fill="auto"/>
          </w:tcPr>
          <w:p w:rsidR="00367443" w:rsidRPr="001E57EA" w:rsidRDefault="00367443" w:rsidP="00432FB6">
            <w:pPr>
              <w:pStyle w:val="TekstStrategija"/>
              <w:rPr>
                <w:sz w:val="16"/>
              </w:rPr>
            </w:pPr>
            <w:r w:rsidRPr="001E57EA">
              <w:rPr>
                <w:sz w:val="16"/>
              </w:rPr>
              <w:t>74%</w:t>
            </w:r>
          </w:p>
        </w:tc>
        <w:tc>
          <w:tcPr>
            <w:tcW w:w="0" w:type="auto"/>
            <w:shd w:val="clear" w:color="auto" w:fill="auto"/>
          </w:tcPr>
          <w:p w:rsidR="00367443" w:rsidRPr="001E57EA" w:rsidRDefault="00367443" w:rsidP="00432FB6">
            <w:pPr>
              <w:pStyle w:val="TekstStrategija"/>
              <w:rPr>
                <w:sz w:val="16"/>
              </w:rPr>
            </w:pPr>
            <w:r w:rsidRPr="001E57EA">
              <w:rPr>
                <w:sz w:val="16"/>
              </w:rPr>
              <w:t>3%</w:t>
            </w:r>
          </w:p>
        </w:tc>
      </w:tr>
      <w:tr w:rsidR="001E57EA" w:rsidRPr="001E57EA" w:rsidTr="00432FB6">
        <w:tc>
          <w:tcPr>
            <w:tcW w:w="0" w:type="auto"/>
            <w:shd w:val="clear" w:color="auto" w:fill="auto"/>
          </w:tcPr>
          <w:p w:rsidR="00367443" w:rsidRPr="001E57EA" w:rsidRDefault="00367443" w:rsidP="00432FB6">
            <w:pPr>
              <w:pStyle w:val="TekstStrategija"/>
              <w:rPr>
                <w:sz w:val="16"/>
              </w:rPr>
            </w:pPr>
            <w:r w:rsidRPr="001E57EA">
              <w:rPr>
                <w:sz w:val="16"/>
              </w:rPr>
              <w:t>2019.</w:t>
            </w:r>
          </w:p>
        </w:tc>
        <w:tc>
          <w:tcPr>
            <w:tcW w:w="0" w:type="auto"/>
            <w:shd w:val="clear" w:color="auto" w:fill="auto"/>
          </w:tcPr>
          <w:p w:rsidR="00367443" w:rsidRPr="001E57EA" w:rsidRDefault="00367443" w:rsidP="00432FB6">
            <w:pPr>
              <w:pStyle w:val="TekstStrategija"/>
              <w:rPr>
                <w:sz w:val="16"/>
              </w:rPr>
            </w:pPr>
            <w:r w:rsidRPr="001E57EA">
              <w:rPr>
                <w:sz w:val="16"/>
              </w:rPr>
              <w:t>371</w:t>
            </w:r>
          </w:p>
        </w:tc>
        <w:tc>
          <w:tcPr>
            <w:tcW w:w="0" w:type="auto"/>
            <w:shd w:val="clear" w:color="auto" w:fill="auto"/>
          </w:tcPr>
          <w:p w:rsidR="00367443" w:rsidRPr="001E57EA" w:rsidRDefault="00367443" w:rsidP="00432FB6">
            <w:pPr>
              <w:pStyle w:val="TekstStrategija"/>
              <w:rPr>
                <w:sz w:val="16"/>
              </w:rPr>
            </w:pPr>
            <w:r w:rsidRPr="001E57EA">
              <w:rPr>
                <w:sz w:val="16"/>
              </w:rPr>
              <w:t>14%</w:t>
            </w:r>
          </w:p>
        </w:tc>
        <w:tc>
          <w:tcPr>
            <w:tcW w:w="0" w:type="auto"/>
            <w:shd w:val="clear" w:color="auto" w:fill="auto"/>
          </w:tcPr>
          <w:p w:rsidR="00367443" w:rsidRPr="001E57EA" w:rsidRDefault="00367443" w:rsidP="00432FB6">
            <w:pPr>
              <w:pStyle w:val="TekstStrategija"/>
              <w:rPr>
                <w:sz w:val="16"/>
              </w:rPr>
            </w:pPr>
            <w:r w:rsidRPr="001E57EA">
              <w:rPr>
                <w:sz w:val="16"/>
              </w:rPr>
              <w:t>4%</w:t>
            </w:r>
          </w:p>
        </w:tc>
        <w:tc>
          <w:tcPr>
            <w:tcW w:w="0" w:type="auto"/>
            <w:shd w:val="clear" w:color="auto" w:fill="auto"/>
          </w:tcPr>
          <w:p w:rsidR="00367443" w:rsidRPr="001E57EA" w:rsidRDefault="00367443" w:rsidP="00432FB6">
            <w:pPr>
              <w:pStyle w:val="TekstStrategija"/>
              <w:rPr>
                <w:sz w:val="16"/>
              </w:rPr>
            </w:pPr>
            <w:r w:rsidRPr="001E57EA">
              <w:rPr>
                <w:sz w:val="16"/>
              </w:rPr>
              <w:t>72%</w:t>
            </w:r>
          </w:p>
        </w:tc>
        <w:tc>
          <w:tcPr>
            <w:tcW w:w="0" w:type="auto"/>
            <w:shd w:val="clear" w:color="auto" w:fill="auto"/>
          </w:tcPr>
          <w:p w:rsidR="00367443" w:rsidRPr="001E57EA" w:rsidRDefault="00367443" w:rsidP="00432FB6">
            <w:pPr>
              <w:pStyle w:val="TekstStrategija"/>
              <w:rPr>
                <w:sz w:val="16"/>
              </w:rPr>
            </w:pPr>
            <w:r w:rsidRPr="001E57EA">
              <w:rPr>
                <w:sz w:val="16"/>
              </w:rPr>
              <w:t>10%</w:t>
            </w:r>
          </w:p>
        </w:tc>
      </w:tr>
      <w:tr w:rsidR="001E57EA" w:rsidRPr="001E57EA" w:rsidTr="00432FB6">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2020.</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321</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15%</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6%</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75%</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4%</w:t>
            </w:r>
          </w:p>
        </w:tc>
      </w:tr>
      <w:tr w:rsidR="001E57EA" w:rsidRPr="001E57EA" w:rsidTr="00432FB6">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2021</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418</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12%</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3%</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67%</w:t>
            </w:r>
          </w:p>
        </w:tc>
        <w:tc>
          <w:tcPr>
            <w:tcW w:w="0" w:type="auto"/>
            <w:shd w:val="clear" w:color="auto" w:fill="auto"/>
          </w:tcPr>
          <w:p w:rsidR="00367443" w:rsidRPr="001E57EA" w:rsidRDefault="00367443" w:rsidP="00432FB6">
            <w:pPr>
              <w:spacing w:after="0"/>
              <w:rPr>
                <w:rFonts w:ascii="Arial" w:hAnsi="Arial"/>
                <w:sz w:val="16"/>
                <w:szCs w:val="16"/>
              </w:rPr>
            </w:pPr>
          </w:p>
        </w:tc>
      </w:tr>
      <w:tr w:rsidR="001E57EA" w:rsidRPr="001E57EA" w:rsidTr="00432FB6">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2022</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318</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16%</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6%</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78%</w:t>
            </w:r>
          </w:p>
        </w:tc>
        <w:tc>
          <w:tcPr>
            <w:tcW w:w="0" w:type="auto"/>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0%</w:t>
            </w:r>
          </w:p>
        </w:tc>
      </w:tr>
    </w:tbl>
    <w:p w:rsidR="008B6A23" w:rsidRPr="001E57EA" w:rsidRDefault="008B6A23" w:rsidP="00BF3ED5">
      <w:pPr>
        <w:pStyle w:val="Napomena"/>
      </w:pPr>
      <w:r w:rsidRPr="001E57EA">
        <w:t xml:space="preserve">*Podaci općinskih sudova prema </w:t>
      </w:r>
      <w:r w:rsidR="00C31CB3" w:rsidRPr="001E57EA">
        <w:t>Član</w:t>
      </w:r>
      <w:r w:rsidRPr="001E57EA">
        <w:t>u 222. Krivičnog zakona FBiH.</w:t>
      </w:r>
    </w:p>
    <w:p w:rsidR="008B6A23" w:rsidRPr="001E57EA" w:rsidRDefault="003F2F7F" w:rsidP="003F2F7F">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11</w:t>
      </w:r>
      <w:r w:rsidRPr="001E57EA">
        <w:fldChar w:fldCharType="end"/>
      </w:r>
      <w:r w:rsidRPr="001E57EA">
        <w:t>: Izvršioci u slučajevima presuđenih krivičnih djela nasilja u porodici prema spolu*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1E57EA" w:rsidRPr="001E57EA" w:rsidTr="00432FB6">
        <w:trPr>
          <w:trHeight w:val="133"/>
        </w:trPr>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Godina</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Ukupan broj izvršilaca</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Muškarci</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Žene</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2018.</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425</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96%</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4%</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2019.</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256</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94%</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6%</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2020.</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210</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94%</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6%</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2021.</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241</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91%</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9%</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2022.</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447</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93%</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7%</w:t>
            </w:r>
          </w:p>
        </w:tc>
      </w:tr>
    </w:tbl>
    <w:p w:rsidR="003F2F7F" w:rsidRPr="001E57EA" w:rsidRDefault="003F2F7F" w:rsidP="00BF3ED5">
      <w:pPr>
        <w:pStyle w:val="Napomena"/>
      </w:pPr>
      <w:r w:rsidRPr="001E57EA">
        <w:t xml:space="preserve">*Podaci općinskih sudova prema </w:t>
      </w:r>
      <w:r w:rsidR="00C31CB3" w:rsidRPr="001E57EA">
        <w:t>Član</w:t>
      </w:r>
      <w:r w:rsidRPr="001E57EA">
        <w:t>u 222. Krivičnog zakona FBiH.</w:t>
      </w:r>
    </w:p>
    <w:p w:rsidR="003F2F7F" w:rsidRPr="001E57EA" w:rsidRDefault="003F2F7F" w:rsidP="003F2F7F">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12</w:t>
      </w:r>
      <w:r w:rsidRPr="001E57EA">
        <w:fldChar w:fldCharType="end"/>
      </w:r>
      <w:r w:rsidRPr="001E57EA">
        <w:t xml:space="preserve">: </w:t>
      </w:r>
      <w:r w:rsidR="00A45D85" w:rsidRPr="001E57EA">
        <w:t>O</w:t>
      </w:r>
      <w:r w:rsidRPr="001E57EA">
        <w:t>sobe u slučajevima presuđenih krivičnih djela nasilja u porodici</w:t>
      </w:r>
      <w:r w:rsidR="00A45D85" w:rsidRPr="001E57EA">
        <w:t xml:space="preserve"> (oštećeni)</w:t>
      </w:r>
      <w:r w:rsidRPr="001E57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Godina</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Ukupan broj oštećenih</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Muškarci</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Žene</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2018.</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510</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80%</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2019.</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1.329</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17%</w:t>
            </w:r>
          </w:p>
        </w:tc>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83%</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2020.</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1.252</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17%</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83%</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2021.</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1.466</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17%</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83%</w:t>
            </w:r>
          </w:p>
        </w:tc>
      </w:tr>
      <w:tr w:rsidR="001E57EA" w:rsidRPr="001E57EA" w:rsidTr="00432FB6">
        <w:tc>
          <w:tcPr>
            <w:tcW w:w="2254" w:type="dxa"/>
            <w:shd w:val="clear" w:color="auto" w:fill="auto"/>
          </w:tcPr>
          <w:p w:rsidR="00367443" w:rsidRPr="001E57EA" w:rsidRDefault="00367443" w:rsidP="00432FB6">
            <w:pPr>
              <w:spacing w:after="0"/>
              <w:rPr>
                <w:rFonts w:ascii="Arial" w:hAnsi="Arial"/>
                <w:sz w:val="16"/>
                <w:szCs w:val="16"/>
                <w:lang w:val="bs-Latn-BA"/>
              </w:rPr>
            </w:pPr>
            <w:r w:rsidRPr="001E57EA">
              <w:rPr>
                <w:rFonts w:ascii="Arial" w:hAnsi="Arial"/>
                <w:sz w:val="16"/>
                <w:szCs w:val="16"/>
                <w:lang w:val="bs-Latn-BA"/>
              </w:rPr>
              <w:t>2022.</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1.935</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20%</w:t>
            </w:r>
          </w:p>
        </w:tc>
        <w:tc>
          <w:tcPr>
            <w:tcW w:w="2254" w:type="dxa"/>
            <w:shd w:val="clear" w:color="auto" w:fill="auto"/>
          </w:tcPr>
          <w:p w:rsidR="00367443" w:rsidRPr="001E57EA" w:rsidRDefault="00367443" w:rsidP="00432FB6">
            <w:pPr>
              <w:spacing w:after="0"/>
              <w:rPr>
                <w:rFonts w:ascii="Arial" w:hAnsi="Arial"/>
                <w:sz w:val="16"/>
                <w:szCs w:val="16"/>
              </w:rPr>
            </w:pPr>
            <w:r w:rsidRPr="001E57EA">
              <w:rPr>
                <w:rFonts w:ascii="Arial" w:hAnsi="Arial"/>
                <w:sz w:val="16"/>
                <w:szCs w:val="16"/>
              </w:rPr>
              <w:t>80%</w:t>
            </w:r>
          </w:p>
        </w:tc>
      </w:tr>
    </w:tbl>
    <w:p w:rsidR="003F2F7F" w:rsidRPr="001E57EA" w:rsidRDefault="003F2F7F" w:rsidP="00BF3ED5">
      <w:pPr>
        <w:pStyle w:val="Napomena"/>
      </w:pPr>
      <w:r w:rsidRPr="001E57EA">
        <w:t xml:space="preserve">*Podaci općinskih sudova prema </w:t>
      </w:r>
      <w:r w:rsidR="00C31CB3" w:rsidRPr="001E57EA">
        <w:t>Član</w:t>
      </w:r>
      <w:r w:rsidRPr="001E57EA">
        <w:t>u 222. Krivičnog zakona FBiH.</w:t>
      </w:r>
    </w:p>
    <w:p w:rsidR="007F182D" w:rsidRPr="001E57EA" w:rsidRDefault="003F2F7F" w:rsidP="003F2F7F">
      <w:pPr>
        <w:pStyle w:val="Tebeleigrafikoni"/>
      </w:pPr>
      <w:r w:rsidRPr="001E57EA">
        <w:t xml:space="preserve">Tabela </w:t>
      </w:r>
      <w:r w:rsidRPr="001E57EA">
        <w:fldChar w:fldCharType="begin"/>
      </w:r>
      <w:r w:rsidRPr="001E57EA">
        <w:instrText xml:space="preserve"> SEQ Tabela \* ARABIC </w:instrText>
      </w:r>
      <w:r w:rsidRPr="001E57EA">
        <w:fldChar w:fldCharType="separate"/>
      </w:r>
      <w:r w:rsidR="00F4569F" w:rsidRPr="001E57EA">
        <w:rPr>
          <w:noProof/>
        </w:rPr>
        <w:t>13</w:t>
      </w:r>
      <w:r w:rsidRPr="001E57EA">
        <w:fldChar w:fldCharType="end"/>
      </w:r>
      <w:r w:rsidR="00A45D85" w:rsidRPr="001E57EA">
        <w:t>: D</w:t>
      </w:r>
      <w:r w:rsidRPr="001E57EA">
        <w:t>jeca u slučajevima presuđenih krivičnih djela nasilja u porodici</w:t>
      </w:r>
      <w:r w:rsidR="00A45D85" w:rsidRPr="001E57EA">
        <w:t xml:space="preserve"> (oštećeni)</w:t>
      </w:r>
      <w:r w:rsidRPr="001E57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1E57EA" w:rsidRPr="001E57EA" w:rsidTr="00921AC6">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Godina</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Ukupan broj oštećenih</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Dječaci</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Djevojčice</w:t>
            </w:r>
          </w:p>
        </w:tc>
      </w:tr>
      <w:tr w:rsidR="001E57EA" w:rsidRPr="001E57EA" w:rsidTr="00921AC6">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2018.</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77</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56%</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44%</w:t>
            </w:r>
          </w:p>
        </w:tc>
      </w:tr>
      <w:tr w:rsidR="001E57EA" w:rsidRPr="001E57EA" w:rsidTr="00921AC6">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2019.</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86</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34%</w:t>
            </w:r>
          </w:p>
        </w:tc>
        <w:tc>
          <w:tcPr>
            <w:tcW w:w="2254" w:type="dxa"/>
            <w:shd w:val="clear" w:color="auto" w:fill="auto"/>
          </w:tcPr>
          <w:p w:rsidR="003F2F7F" w:rsidRPr="001E57EA" w:rsidRDefault="003F2F7F" w:rsidP="00921AC6">
            <w:pPr>
              <w:spacing w:after="0"/>
              <w:rPr>
                <w:rFonts w:ascii="Arial" w:hAnsi="Arial"/>
                <w:sz w:val="16"/>
                <w:szCs w:val="16"/>
                <w:lang w:val="bs-Latn-BA"/>
              </w:rPr>
            </w:pPr>
            <w:r w:rsidRPr="001E57EA">
              <w:rPr>
                <w:rFonts w:ascii="Arial" w:hAnsi="Arial"/>
                <w:sz w:val="16"/>
                <w:szCs w:val="16"/>
                <w:lang w:val="bs-Latn-BA"/>
              </w:rPr>
              <w:t>66%</w:t>
            </w:r>
          </w:p>
        </w:tc>
      </w:tr>
      <w:tr w:rsidR="001E57EA" w:rsidRPr="001E57EA" w:rsidTr="00921AC6">
        <w:tc>
          <w:tcPr>
            <w:tcW w:w="2254" w:type="dxa"/>
            <w:shd w:val="clear" w:color="auto" w:fill="auto"/>
          </w:tcPr>
          <w:p w:rsidR="000A45C1" w:rsidRPr="001E57EA" w:rsidRDefault="000A45C1" w:rsidP="00921AC6">
            <w:pPr>
              <w:spacing w:after="0"/>
              <w:rPr>
                <w:rFonts w:ascii="Arial" w:hAnsi="Arial"/>
                <w:sz w:val="16"/>
                <w:szCs w:val="16"/>
                <w:lang w:val="bs-Latn-BA"/>
              </w:rPr>
            </w:pPr>
            <w:r w:rsidRPr="001E57EA">
              <w:rPr>
                <w:rFonts w:ascii="Arial" w:hAnsi="Arial"/>
                <w:sz w:val="16"/>
                <w:szCs w:val="16"/>
                <w:lang w:val="bs-Latn-BA"/>
              </w:rPr>
              <w:t>2020.</w:t>
            </w:r>
          </w:p>
        </w:tc>
        <w:tc>
          <w:tcPr>
            <w:tcW w:w="2254" w:type="dxa"/>
            <w:shd w:val="clear" w:color="auto" w:fill="auto"/>
          </w:tcPr>
          <w:p w:rsidR="000A45C1" w:rsidRPr="001E57EA" w:rsidRDefault="000A45C1" w:rsidP="00921AC6">
            <w:pPr>
              <w:spacing w:after="0"/>
              <w:rPr>
                <w:rFonts w:ascii="Arial" w:hAnsi="Arial"/>
                <w:sz w:val="16"/>
                <w:szCs w:val="16"/>
              </w:rPr>
            </w:pPr>
            <w:r w:rsidRPr="001E57EA">
              <w:rPr>
                <w:rFonts w:ascii="Arial" w:hAnsi="Arial"/>
                <w:sz w:val="16"/>
                <w:szCs w:val="16"/>
              </w:rPr>
              <w:t>60</w:t>
            </w:r>
          </w:p>
        </w:tc>
        <w:tc>
          <w:tcPr>
            <w:tcW w:w="2254" w:type="dxa"/>
            <w:shd w:val="clear" w:color="auto" w:fill="auto"/>
          </w:tcPr>
          <w:p w:rsidR="000A45C1" w:rsidRPr="001E57EA" w:rsidRDefault="000A45C1" w:rsidP="00921AC6">
            <w:pPr>
              <w:spacing w:after="0"/>
              <w:rPr>
                <w:rFonts w:ascii="Arial" w:hAnsi="Arial"/>
                <w:sz w:val="16"/>
                <w:szCs w:val="16"/>
              </w:rPr>
            </w:pPr>
            <w:r w:rsidRPr="001E57EA">
              <w:rPr>
                <w:rFonts w:ascii="Arial" w:hAnsi="Arial"/>
                <w:sz w:val="16"/>
                <w:szCs w:val="16"/>
              </w:rPr>
              <w:t>50%</w:t>
            </w:r>
          </w:p>
        </w:tc>
        <w:tc>
          <w:tcPr>
            <w:tcW w:w="2254" w:type="dxa"/>
            <w:shd w:val="clear" w:color="auto" w:fill="auto"/>
          </w:tcPr>
          <w:p w:rsidR="000A45C1" w:rsidRPr="001E57EA" w:rsidRDefault="000A45C1" w:rsidP="00921AC6">
            <w:pPr>
              <w:spacing w:after="0"/>
              <w:rPr>
                <w:rFonts w:ascii="Arial" w:hAnsi="Arial"/>
                <w:sz w:val="16"/>
                <w:szCs w:val="16"/>
              </w:rPr>
            </w:pPr>
            <w:r w:rsidRPr="001E57EA">
              <w:rPr>
                <w:rFonts w:ascii="Arial" w:hAnsi="Arial"/>
                <w:sz w:val="16"/>
                <w:szCs w:val="16"/>
              </w:rPr>
              <w:t>50%</w:t>
            </w:r>
          </w:p>
        </w:tc>
      </w:tr>
    </w:tbl>
    <w:p w:rsidR="003F2F7F" w:rsidRPr="001E57EA" w:rsidRDefault="003F2F7F" w:rsidP="00BF3ED5">
      <w:pPr>
        <w:pStyle w:val="Napomena"/>
      </w:pPr>
      <w:r w:rsidRPr="001E57EA">
        <w:t xml:space="preserve">*Podaci općinskih sudova prema </w:t>
      </w:r>
      <w:r w:rsidR="00C31CB3" w:rsidRPr="001E57EA">
        <w:t>Član</w:t>
      </w:r>
      <w:r w:rsidRPr="001E57EA">
        <w:t>u 222. Krivičnog zakona FBiH.</w:t>
      </w:r>
    </w:p>
    <w:p w:rsidR="00987169" w:rsidRPr="001E57EA" w:rsidRDefault="00987169" w:rsidP="00BF3ED5">
      <w:pPr>
        <w:pStyle w:val="TekstStrategija"/>
      </w:pPr>
    </w:p>
    <w:p w:rsidR="00342E5F" w:rsidRPr="001E57EA" w:rsidRDefault="00A44A9E" w:rsidP="00BF3ED5">
      <w:pPr>
        <w:pStyle w:val="TekstStrategija"/>
      </w:pPr>
      <w:r w:rsidRPr="001E57EA">
        <w:t>Ukoliko postoje osnovi sumnje da je počinilac krivičnog djela nasilja u porodici u vrijeme počinjenja krivičnog djela bio pod dejstvom alkohola, lijekova ili opojnih sredstava ili postoji sumnja na psihičko oboljenje</w:t>
      </w:r>
      <w:r w:rsidR="00C570A8" w:rsidRPr="001E57EA">
        <w:t>,</w:t>
      </w:r>
      <w:r w:rsidRPr="001E57EA">
        <w:t xml:space="preserve"> obavezno je provođenje različitih vještačenja, nakon čijeg provođenja se na osnovu stručnog nalaza i mišljenja vještaka prilikom podizanja optužnice i u smislu odredbe </w:t>
      </w:r>
      <w:r w:rsidR="00C31CB3" w:rsidRPr="001E57EA">
        <w:t>Član</w:t>
      </w:r>
      <w:r w:rsidRPr="001E57EA">
        <w:t>a 75. Krivičnog zakona F</w:t>
      </w:r>
      <w:r w:rsidR="00DE7CB3" w:rsidRPr="001E57EA">
        <w:t xml:space="preserve">ederacije </w:t>
      </w:r>
      <w:r w:rsidRPr="001E57EA">
        <w:t>B</w:t>
      </w:r>
      <w:r w:rsidR="005B3D01" w:rsidRPr="001E57EA">
        <w:t xml:space="preserve">iH, </w:t>
      </w:r>
      <w:r w:rsidRPr="001E57EA">
        <w:t>sudu treba predložiti i izricanje sigurnos</w:t>
      </w:r>
      <w:r w:rsidR="00380DE3" w:rsidRPr="001E57EA">
        <w:t>n</w:t>
      </w:r>
      <w:r w:rsidRPr="001E57EA">
        <w:t>ih mjera</w:t>
      </w:r>
      <w:r w:rsidR="00C570A8" w:rsidRPr="001E57EA">
        <w:t>. O</w:t>
      </w:r>
      <w:r w:rsidR="007B4EB1" w:rsidRPr="001E57EA">
        <w:t xml:space="preserve">sim </w:t>
      </w:r>
      <w:r w:rsidRPr="001E57EA">
        <w:t>donošenja presude</w:t>
      </w:r>
      <w:r w:rsidR="00C570A8" w:rsidRPr="001E57EA">
        <w:t>,</w:t>
      </w:r>
      <w:r w:rsidRPr="001E57EA">
        <w:t xml:space="preserve"> uz izricanje krivično-pravne sankcije</w:t>
      </w:r>
      <w:r w:rsidR="00C570A8" w:rsidRPr="001E57EA">
        <w:t>,</w:t>
      </w:r>
      <w:r w:rsidRPr="001E57EA">
        <w:t xml:space="preserve"> </w:t>
      </w:r>
      <w:r w:rsidR="00C570A8" w:rsidRPr="001E57EA">
        <w:t>počiniocu</w:t>
      </w:r>
      <w:r w:rsidRPr="001E57EA">
        <w:t xml:space="preserve">/optuženom izriču </w:t>
      </w:r>
      <w:r w:rsidR="00C570A8" w:rsidRPr="001E57EA">
        <w:t xml:space="preserve">se </w:t>
      </w:r>
      <w:r w:rsidRPr="001E57EA">
        <w:t>sigurnosne mjere liječenja određene ovisnosti ili bolesti čime se i značajno uključuju institucije sistema u navedeni proces</w:t>
      </w:r>
      <w:r w:rsidR="00C570A8" w:rsidRPr="001E57EA">
        <w:t xml:space="preserve">. Na taj </w:t>
      </w:r>
      <w:r w:rsidRPr="001E57EA">
        <w:t xml:space="preserve">način se može utjecati i na promjene ponašanja </w:t>
      </w:r>
      <w:r w:rsidR="00C570A8" w:rsidRPr="001E57EA">
        <w:t xml:space="preserve">počinioca, </w:t>
      </w:r>
      <w:r w:rsidRPr="001E57EA">
        <w:lastRenderedPageBreak/>
        <w:t xml:space="preserve">u smislu da kroz stručnu pomoć institucija počinilac </w:t>
      </w:r>
      <w:r w:rsidR="00380DE3" w:rsidRPr="001E57EA">
        <w:t xml:space="preserve">nasilja </w:t>
      </w:r>
      <w:r w:rsidRPr="001E57EA">
        <w:t xml:space="preserve">prestane sa konzumiranjem alkohola, lijekova ili opojnih sredstava ili </w:t>
      </w:r>
      <w:r w:rsidR="00C570A8" w:rsidRPr="001E57EA">
        <w:t xml:space="preserve">se smjesti </w:t>
      </w:r>
      <w:r w:rsidRPr="001E57EA">
        <w:t>u zdravstvenu ustanovu</w:t>
      </w:r>
      <w:r w:rsidR="00C570A8" w:rsidRPr="001E57EA">
        <w:t>,</w:t>
      </w:r>
      <w:r w:rsidRPr="001E57EA">
        <w:t xml:space="preserve"> ukoliko se radi o psihičkom oboljenju. </w:t>
      </w:r>
      <w:r w:rsidR="00342E5F" w:rsidRPr="001E57EA">
        <w:t xml:space="preserve">Rana procjena opasnosti, pravovremeno </w:t>
      </w:r>
      <w:r w:rsidR="00C570A8" w:rsidRPr="001E57EA">
        <w:t xml:space="preserve">reagiranje </w:t>
      </w:r>
      <w:r w:rsidR="00342E5F" w:rsidRPr="001E57EA">
        <w:t>i procesuiranje slučajeva nasilja u porodici predstavlja</w:t>
      </w:r>
      <w:r w:rsidR="00DE7CB3" w:rsidRPr="001E57EA">
        <w:t xml:space="preserve"> adekvatan odgovor institucija u provođenju zakona kao odgovora na slučajeve nasilja u porodici, te je neophodna kontinuirana edukacija u ovoj oblasti.</w:t>
      </w:r>
    </w:p>
    <w:p w:rsidR="00406AED" w:rsidRPr="001E57EA" w:rsidRDefault="00406AED" w:rsidP="00406AED">
      <w:pPr>
        <w:pStyle w:val="4naslov"/>
        <w:rPr>
          <w:rFonts w:cs="Arial"/>
        </w:rPr>
      </w:pPr>
      <w:bookmarkStart w:id="18" w:name="_Toc145323814"/>
      <w:r w:rsidRPr="001E57EA">
        <w:rPr>
          <w:rFonts w:cs="Arial"/>
        </w:rPr>
        <w:t>Koordinacija</w:t>
      </w:r>
      <w:bookmarkEnd w:id="18"/>
    </w:p>
    <w:p w:rsidR="00406AED" w:rsidRPr="001E57EA" w:rsidRDefault="00406AED" w:rsidP="00BF3ED5">
      <w:pPr>
        <w:pStyle w:val="TekstStrategija"/>
      </w:pPr>
      <w:r w:rsidRPr="001E57EA">
        <w:t xml:space="preserve">Održivost djelovanja u oblasti nasilja u porodici </w:t>
      </w:r>
      <w:r w:rsidR="005B3D01" w:rsidRPr="001E57EA">
        <w:t xml:space="preserve">garantirana </w:t>
      </w:r>
      <w:r w:rsidRPr="001E57EA">
        <w:t>je Zakonom o zaštiti od nasilja u porodici („Službene novine Federacije BiH“, br. 20/13 i 75/21) i Zakonom o razvojnom planiranju</w:t>
      </w:r>
      <w:r w:rsidR="00E7092B" w:rsidRPr="001E57EA">
        <w:t xml:space="preserve"> i upravljanju razvojem u Federaciji Bosne i Hercegovine</w:t>
      </w:r>
      <w:r w:rsidRPr="001E57EA">
        <w:t xml:space="preserve"> („Službene novine Federacije BiH“, broj 32/17). Naime, </w:t>
      </w:r>
      <w:r w:rsidR="00C31CB3" w:rsidRPr="001E57EA">
        <w:t>Član</w:t>
      </w:r>
      <w:r w:rsidRPr="001E57EA">
        <w:t>om 36. Zakona o zaštiti od nasilja u porodici predviđeno je donošenje entitetske strategije u oblasti nasilja u porodici</w:t>
      </w:r>
      <w:r w:rsidRPr="001E57EA">
        <w:rPr>
          <w:rStyle w:val="FootnoteReference"/>
        </w:rPr>
        <w:footnoteReference w:id="48"/>
      </w:r>
      <w:r w:rsidRPr="001E57EA">
        <w:t>,</w:t>
      </w:r>
      <w:r w:rsidR="00540771" w:rsidRPr="001E57EA">
        <w:t xml:space="preserve"> </w:t>
      </w:r>
      <w:r w:rsidR="00C31CB3" w:rsidRPr="001E57EA">
        <w:t>Član</w:t>
      </w:r>
      <w:r w:rsidRPr="001E57EA">
        <w:t>om 37. predviđeno je donošenje programa mjera na kantonalnom nivou</w:t>
      </w:r>
      <w:r w:rsidRPr="001E57EA">
        <w:rPr>
          <w:rStyle w:val="FootnoteReference"/>
        </w:rPr>
        <w:footnoteReference w:id="49"/>
      </w:r>
      <w:r w:rsidRPr="001E57EA">
        <w:t xml:space="preserve">, a prema </w:t>
      </w:r>
      <w:r w:rsidR="00C31CB3" w:rsidRPr="001E57EA">
        <w:t>Član</w:t>
      </w:r>
      <w:r w:rsidRPr="001E57EA">
        <w:t>u 39. potpisivanje protokola za jednu ili više općina</w:t>
      </w:r>
      <w:r w:rsidRPr="001E57EA">
        <w:rPr>
          <w:rStyle w:val="FootnoteReference"/>
        </w:rPr>
        <w:footnoteReference w:id="50"/>
      </w:r>
      <w:r w:rsidRPr="001E57EA">
        <w:t>. Svaki od navedenih nivoa predviđa i formiranje koordinacionih tijela</w:t>
      </w:r>
      <w:r w:rsidRPr="001E57EA">
        <w:rPr>
          <w:rStyle w:val="FootnoteReference"/>
        </w:rPr>
        <w:footnoteReference w:id="51"/>
      </w:r>
      <w:r w:rsidRPr="001E57EA">
        <w:t xml:space="preserve"> sastavljenih od predstavnika nadležnih institucija i nevladinih organizacija koji će osigurati planiranje, realizaciju i izvještavanje prema pojedinim dokumentima. S druge strane, </w:t>
      </w:r>
      <w:r w:rsidR="00C31CB3" w:rsidRPr="001E57EA">
        <w:t>Član</w:t>
      </w:r>
      <w:r w:rsidRPr="001E57EA">
        <w:t>om 16. Zakona o razvojnom planiranju</w:t>
      </w:r>
      <w:r w:rsidR="00E7092B" w:rsidRPr="001E57EA">
        <w:t xml:space="preserve"> i upravljanju razvojem u Federaciji Bosne i Hercegovine</w:t>
      </w:r>
      <w:r w:rsidRPr="001E57EA">
        <w:t xml:space="preserve"> predviđeno je donošenje entitetske razvojne strategije, </w:t>
      </w:r>
      <w:r w:rsidR="00C31CB3" w:rsidRPr="001E57EA">
        <w:t>Član</w:t>
      </w:r>
      <w:r w:rsidRPr="001E57EA">
        <w:t xml:space="preserve">om 18. predviđeno je donošenje strategije razvoja kantona, a </w:t>
      </w:r>
      <w:r w:rsidR="00C31CB3" w:rsidRPr="001E57EA">
        <w:t>Član</w:t>
      </w:r>
      <w:r w:rsidRPr="001E57EA">
        <w:t>om 20. strategije razvoja jedinice lokalne samouprave. Ovi razvojni dokumenti predstavljaju osnovni dokument za izradu DOB-a</w:t>
      </w:r>
      <w:r w:rsidR="00684580" w:rsidRPr="001E57EA">
        <w:rPr>
          <w:rStyle w:val="FootnoteReference"/>
        </w:rPr>
        <w:footnoteReference w:id="52"/>
      </w:r>
      <w:r w:rsidRPr="001E57EA">
        <w:t>, budžeta, trogodišnjih planova rada i godišnjih programa rada na svakom od nivoa organizacije vlasti. Ovaj zakon</w:t>
      </w:r>
      <w:r w:rsidR="007B4EB1" w:rsidRPr="001E57EA">
        <w:t xml:space="preserve">, </w:t>
      </w:r>
      <w:r w:rsidRPr="001E57EA">
        <w:t>također</w:t>
      </w:r>
      <w:r w:rsidR="007B4EB1" w:rsidRPr="001E57EA">
        <w:t>,</w:t>
      </w:r>
      <w:r w:rsidRPr="001E57EA">
        <w:t xml:space="preserve"> predviđa donošenje sektorskih strategija koje se baziraju na strategiji razvoja.</w:t>
      </w:r>
    </w:p>
    <w:p w:rsidR="00D20058" w:rsidRPr="001E57EA" w:rsidRDefault="005526D4" w:rsidP="00390729">
      <w:pPr>
        <w:pStyle w:val="1naslov"/>
        <w:rPr>
          <w:color w:val="auto"/>
        </w:rPr>
      </w:pPr>
      <w:bookmarkStart w:id="19" w:name="_Toc145323815"/>
      <w:r w:rsidRPr="001E57EA">
        <w:rPr>
          <w:color w:val="auto"/>
        </w:rPr>
        <w:lastRenderedPageBreak/>
        <w:t>Vizija Strategije</w:t>
      </w:r>
      <w:bookmarkEnd w:id="19"/>
    </w:p>
    <w:p w:rsidR="00124CAB" w:rsidRPr="001E57EA" w:rsidRDefault="00124CAB" w:rsidP="00BF3ED5">
      <w:pPr>
        <w:pStyle w:val="TekstStrategija"/>
      </w:pPr>
      <w:r w:rsidRPr="001E57EA">
        <w:rPr>
          <w:b/>
        </w:rPr>
        <w:t>Vizija</w:t>
      </w:r>
      <w:r w:rsidR="00262157" w:rsidRPr="001E57EA">
        <w:rPr>
          <w:b/>
        </w:rPr>
        <w:t>:</w:t>
      </w:r>
      <w:r w:rsidR="00066437" w:rsidRPr="001E57EA">
        <w:t xml:space="preserve"> „Bosna i Hercegovina kao društvo sa nultom tolerancijom na nasilje, sa održivim sistemom preventivnog djelovanja, prepoznavanja, postupanja i zaštite u slučajevima nasilja i podjednako dostupnim pravovremenim </w:t>
      </w:r>
      <w:r w:rsidR="00540771" w:rsidRPr="001E57EA">
        <w:t xml:space="preserve">institucionalnim </w:t>
      </w:r>
      <w:r w:rsidR="00066437" w:rsidRPr="001E57EA">
        <w:t xml:space="preserve">odgovorom na nasilje!“ </w:t>
      </w:r>
    </w:p>
    <w:p w:rsidR="000A738C" w:rsidRPr="001E57EA" w:rsidRDefault="000A738C" w:rsidP="00390729">
      <w:pPr>
        <w:pStyle w:val="1naslov"/>
        <w:rPr>
          <w:color w:val="auto"/>
        </w:rPr>
      </w:pPr>
      <w:bookmarkStart w:id="20" w:name="_Toc145323816"/>
      <w:r w:rsidRPr="001E57EA">
        <w:rPr>
          <w:color w:val="auto"/>
        </w:rPr>
        <w:t>SWOT analiza</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768"/>
      </w:tblGrid>
      <w:tr w:rsidR="001E57EA" w:rsidRPr="001E57EA" w:rsidTr="00921AC6">
        <w:tc>
          <w:tcPr>
            <w:tcW w:w="4248" w:type="dxa"/>
            <w:shd w:val="clear" w:color="auto" w:fill="auto"/>
          </w:tcPr>
          <w:p w:rsidR="000A738C" w:rsidRPr="001E57EA" w:rsidRDefault="000A738C" w:rsidP="00921AC6">
            <w:pPr>
              <w:spacing w:after="0" w:line="259" w:lineRule="auto"/>
              <w:rPr>
                <w:rFonts w:ascii="Arial" w:hAnsi="Arial"/>
                <w:b/>
                <w:sz w:val="16"/>
                <w:szCs w:val="16"/>
                <w:lang w:val="bs-Latn-BA"/>
              </w:rPr>
            </w:pPr>
            <w:r w:rsidRPr="001E57EA">
              <w:rPr>
                <w:rFonts w:ascii="Arial" w:hAnsi="Arial"/>
                <w:b/>
                <w:sz w:val="16"/>
                <w:szCs w:val="16"/>
                <w:lang w:val="bs-Latn-BA"/>
              </w:rPr>
              <w:t>SNAGE</w:t>
            </w:r>
          </w:p>
        </w:tc>
        <w:tc>
          <w:tcPr>
            <w:tcW w:w="4768" w:type="dxa"/>
            <w:shd w:val="clear" w:color="auto" w:fill="auto"/>
          </w:tcPr>
          <w:p w:rsidR="000A738C" w:rsidRPr="001E57EA" w:rsidRDefault="000A738C" w:rsidP="00921AC6">
            <w:pPr>
              <w:spacing w:after="0" w:line="259" w:lineRule="auto"/>
              <w:rPr>
                <w:rFonts w:ascii="Arial" w:hAnsi="Arial"/>
                <w:b/>
                <w:sz w:val="16"/>
                <w:szCs w:val="16"/>
                <w:lang w:val="bs-Latn-BA"/>
              </w:rPr>
            </w:pPr>
            <w:r w:rsidRPr="001E57EA">
              <w:rPr>
                <w:rFonts w:ascii="Arial" w:hAnsi="Arial"/>
                <w:b/>
                <w:sz w:val="16"/>
                <w:szCs w:val="16"/>
                <w:lang w:val="bs-Latn-BA"/>
              </w:rPr>
              <w:t>SLABOSTI</w:t>
            </w:r>
          </w:p>
        </w:tc>
      </w:tr>
      <w:tr w:rsidR="001E57EA" w:rsidRPr="00F35483" w:rsidTr="00921AC6">
        <w:tc>
          <w:tcPr>
            <w:tcW w:w="4248" w:type="dxa"/>
            <w:shd w:val="clear" w:color="auto" w:fill="auto"/>
          </w:tcPr>
          <w:p w:rsidR="000A738C" w:rsidRPr="001E57EA" w:rsidRDefault="000A738C" w:rsidP="00921AC6">
            <w:pPr>
              <w:spacing w:after="0" w:line="259" w:lineRule="auto"/>
              <w:rPr>
                <w:rFonts w:ascii="Arial" w:hAnsi="Arial"/>
                <w:sz w:val="16"/>
                <w:szCs w:val="16"/>
                <w:lang w:val="bs-Latn-BA"/>
              </w:rPr>
            </w:pPr>
            <w:r w:rsidRPr="001E57EA">
              <w:rPr>
                <w:rFonts w:ascii="Arial" w:hAnsi="Arial"/>
                <w:sz w:val="16"/>
                <w:szCs w:val="16"/>
                <w:lang w:val="bs-Latn-BA"/>
              </w:rPr>
              <w:t>- postojanje pravnog okvira</w:t>
            </w:r>
            <w:r w:rsidR="00706B7C" w:rsidRPr="001E57EA">
              <w:rPr>
                <w:rFonts w:ascii="Arial" w:hAnsi="Arial"/>
                <w:sz w:val="16"/>
                <w:szCs w:val="16"/>
                <w:lang w:val="bs-Latn-BA"/>
              </w:rPr>
              <w:t xml:space="preserve"> (domaći i međunarodni okvir)</w:t>
            </w:r>
          </w:p>
          <w:p w:rsidR="00CE3C50" w:rsidRPr="001E57EA" w:rsidRDefault="00CE3C50" w:rsidP="00921AC6">
            <w:pPr>
              <w:spacing w:after="0" w:line="259" w:lineRule="auto"/>
              <w:rPr>
                <w:rFonts w:ascii="Arial" w:hAnsi="Arial"/>
                <w:sz w:val="16"/>
                <w:szCs w:val="16"/>
                <w:lang w:val="bs-Latn-BA"/>
              </w:rPr>
            </w:pPr>
            <w:r w:rsidRPr="001E57EA">
              <w:rPr>
                <w:rFonts w:ascii="Arial" w:hAnsi="Arial"/>
                <w:sz w:val="16"/>
                <w:szCs w:val="16"/>
                <w:lang w:val="bs-Latn-BA"/>
              </w:rPr>
              <w:t>- postojanje prakse u primjeni pravnih rješenja</w:t>
            </w:r>
          </w:p>
          <w:p w:rsidR="00380DE3" w:rsidRPr="001E57EA" w:rsidRDefault="00380DE3" w:rsidP="00921AC6">
            <w:pPr>
              <w:spacing w:after="0" w:line="259" w:lineRule="auto"/>
              <w:rPr>
                <w:rFonts w:ascii="Arial" w:hAnsi="Arial"/>
                <w:sz w:val="16"/>
                <w:szCs w:val="16"/>
                <w:lang w:val="bs-Latn-BA"/>
              </w:rPr>
            </w:pPr>
            <w:r w:rsidRPr="001E57EA">
              <w:rPr>
                <w:rFonts w:ascii="Arial" w:hAnsi="Arial"/>
                <w:sz w:val="16"/>
                <w:szCs w:val="16"/>
                <w:lang w:val="bs-Latn-BA"/>
              </w:rPr>
              <w:t>- postojanje multisektorskih timova</w:t>
            </w:r>
          </w:p>
          <w:p w:rsidR="00380DE3" w:rsidRPr="001E57EA" w:rsidRDefault="00380DE3" w:rsidP="00921AC6">
            <w:pPr>
              <w:spacing w:after="0" w:line="259" w:lineRule="auto"/>
              <w:rPr>
                <w:rFonts w:ascii="Arial" w:hAnsi="Arial"/>
                <w:sz w:val="16"/>
                <w:szCs w:val="16"/>
                <w:lang w:val="bs-Latn-BA"/>
              </w:rPr>
            </w:pPr>
            <w:r w:rsidRPr="001E57EA">
              <w:rPr>
                <w:rFonts w:ascii="Arial" w:hAnsi="Arial"/>
                <w:sz w:val="16"/>
                <w:szCs w:val="16"/>
                <w:lang w:val="bs-Latn-BA"/>
              </w:rPr>
              <w:t>- postojanje kantonalnih koordinacionih tijela</w:t>
            </w:r>
          </w:p>
          <w:p w:rsidR="00380DE3" w:rsidRPr="001E57EA" w:rsidRDefault="00380DE3" w:rsidP="00921AC6">
            <w:pPr>
              <w:spacing w:after="0" w:line="259" w:lineRule="auto"/>
              <w:rPr>
                <w:rFonts w:ascii="Arial" w:hAnsi="Arial"/>
                <w:sz w:val="16"/>
                <w:szCs w:val="16"/>
                <w:lang w:val="bs-Latn-BA"/>
              </w:rPr>
            </w:pPr>
            <w:r w:rsidRPr="001E57EA">
              <w:rPr>
                <w:rFonts w:ascii="Arial" w:hAnsi="Arial"/>
                <w:sz w:val="16"/>
                <w:szCs w:val="16"/>
                <w:lang w:val="bs-Latn-BA"/>
              </w:rPr>
              <w:t>- potpisani protokoli o postupanju</w:t>
            </w:r>
          </w:p>
          <w:p w:rsidR="00CE3C50" w:rsidRPr="001E57EA" w:rsidRDefault="00CE3C50" w:rsidP="00921AC6">
            <w:pPr>
              <w:spacing w:after="0" w:line="259" w:lineRule="auto"/>
              <w:rPr>
                <w:rFonts w:ascii="Arial" w:hAnsi="Arial"/>
                <w:sz w:val="16"/>
                <w:szCs w:val="16"/>
                <w:lang w:val="bs-Latn-BA"/>
              </w:rPr>
            </w:pPr>
            <w:r w:rsidRPr="001E57EA">
              <w:rPr>
                <w:rFonts w:ascii="Arial" w:hAnsi="Arial"/>
                <w:sz w:val="16"/>
                <w:szCs w:val="16"/>
                <w:lang w:val="bs-Latn-BA"/>
              </w:rPr>
              <w:t xml:space="preserve">- </w:t>
            </w:r>
            <w:r w:rsidR="00706B7C" w:rsidRPr="001E57EA">
              <w:rPr>
                <w:rFonts w:ascii="Arial" w:hAnsi="Arial"/>
                <w:sz w:val="16"/>
                <w:szCs w:val="16"/>
                <w:lang w:val="bs-Latn-BA"/>
              </w:rPr>
              <w:t>kontinuirana edukacija za policij</w:t>
            </w:r>
            <w:r w:rsidR="00D97915" w:rsidRPr="001E57EA">
              <w:rPr>
                <w:rFonts w:ascii="Arial" w:hAnsi="Arial"/>
                <w:sz w:val="16"/>
                <w:szCs w:val="16"/>
                <w:lang w:val="bs-Latn-BA"/>
              </w:rPr>
              <w:t>u</w:t>
            </w:r>
            <w:r w:rsidR="00706B7C" w:rsidRPr="001E57EA">
              <w:rPr>
                <w:rFonts w:ascii="Arial" w:hAnsi="Arial"/>
                <w:sz w:val="16"/>
                <w:szCs w:val="16"/>
                <w:lang w:val="bs-Latn-BA"/>
              </w:rPr>
              <w:t>, sudije i tužioce</w:t>
            </w:r>
          </w:p>
          <w:p w:rsidR="00331805" w:rsidRPr="001E57EA" w:rsidRDefault="00331805" w:rsidP="00921AC6">
            <w:pPr>
              <w:spacing w:after="0" w:line="259" w:lineRule="auto"/>
              <w:rPr>
                <w:rFonts w:ascii="Arial" w:hAnsi="Arial"/>
                <w:sz w:val="16"/>
                <w:szCs w:val="16"/>
                <w:lang w:val="bs-Latn-BA"/>
              </w:rPr>
            </w:pPr>
            <w:r w:rsidRPr="001E57EA">
              <w:rPr>
                <w:rFonts w:ascii="Arial" w:hAnsi="Arial"/>
                <w:sz w:val="16"/>
                <w:szCs w:val="16"/>
                <w:lang w:val="bs-Latn-BA"/>
              </w:rPr>
              <w:t>- postojanje institucionalne podrške</w:t>
            </w:r>
          </w:p>
          <w:p w:rsidR="00331805" w:rsidRPr="001E57EA" w:rsidRDefault="00331805" w:rsidP="00921AC6">
            <w:pPr>
              <w:spacing w:after="0" w:line="259" w:lineRule="auto"/>
              <w:rPr>
                <w:rFonts w:ascii="Arial" w:hAnsi="Arial"/>
                <w:sz w:val="16"/>
                <w:szCs w:val="16"/>
                <w:lang w:val="bs-Latn-BA"/>
              </w:rPr>
            </w:pPr>
            <w:r w:rsidRPr="001E57EA">
              <w:rPr>
                <w:rFonts w:ascii="Arial" w:hAnsi="Arial"/>
                <w:sz w:val="16"/>
                <w:szCs w:val="16"/>
                <w:lang w:val="bs-Latn-BA"/>
              </w:rPr>
              <w:t>- postojanje mreže zdravstvenih ustanova koje mogu provoditi psihosocijalni tretman.</w:t>
            </w:r>
          </w:p>
          <w:p w:rsidR="00331805" w:rsidRPr="001E57EA" w:rsidRDefault="00331805" w:rsidP="00921AC6">
            <w:pPr>
              <w:spacing w:after="0" w:line="259" w:lineRule="auto"/>
              <w:rPr>
                <w:rFonts w:ascii="Arial" w:hAnsi="Arial"/>
                <w:sz w:val="16"/>
                <w:szCs w:val="16"/>
                <w:lang w:val="bs-Latn-BA"/>
              </w:rPr>
            </w:pPr>
            <w:r w:rsidRPr="001E57EA">
              <w:rPr>
                <w:rFonts w:ascii="Arial" w:hAnsi="Arial"/>
                <w:sz w:val="16"/>
                <w:szCs w:val="16"/>
                <w:lang w:val="bs-Latn-BA"/>
              </w:rPr>
              <w:t>- povećavanje broja kadrova koji su educirani za provođenje mjere obaveznog psihosocijalnog tretmana.</w:t>
            </w:r>
          </w:p>
          <w:p w:rsidR="00331805" w:rsidRPr="001E57EA" w:rsidRDefault="00331805" w:rsidP="00921AC6">
            <w:pPr>
              <w:spacing w:after="0" w:line="259" w:lineRule="auto"/>
              <w:rPr>
                <w:rFonts w:ascii="Arial" w:hAnsi="Arial"/>
                <w:sz w:val="16"/>
                <w:szCs w:val="16"/>
                <w:lang w:val="bs-Latn-BA"/>
              </w:rPr>
            </w:pPr>
            <w:r w:rsidRPr="001E57EA">
              <w:rPr>
                <w:rFonts w:ascii="Arial" w:hAnsi="Arial"/>
                <w:sz w:val="16"/>
                <w:szCs w:val="16"/>
                <w:lang w:val="bs-Latn-BA"/>
              </w:rPr>
              <w:t>- sve ve</w:t>
            </w:r>
            <w:r w:rsidR="00380DE3" w:rsidRPr="001E57EA">
              <w:rPr>
                <w:rFonts w:ascii="Arial" w:hAnsi="Arial"/>
                <w:sz w:val="16"/>
                <w:szCs w:val="16"/>
                <w:lang w:val="bs-Latn-BA"/>
              </w:rPr>
              <w:t>ć</w:t>
            </w:r>
            <w:r w:rsidRPr="001E57EA">
              <w:rPr>
                <w:rFonts w:ascii="Arial" w:hAnsi="Arial"/>
                <w:sz w:val="16"/>
                <w:szCs w:val="16"/>
                <w:lang w:val="bs-Latn-BA"/>
              </w:rPr>
              <w:t xml:space="preserve">a senzibiliziranost javnosti i profesionalaca na probleme </w:t>
            </w:r>
            <w:r w:rsidR="0009144E" w:rsidRPr="001E57EA">
              <w:rPr>
                <w:rFonts w:ascii="Arial" w:hAnsi="Arial"/>
                <w:sz w:val="16"/>
                <w:szCs w:val="16"/>
                <w:lang w:val="bs-Latn-BA"/>
              </w:rPr>
              <w:t>u vezi sa rodno zasnovanim nasiljem</w:t>
            </w:r>
            <w:r w:rsidRPr="001E57EA">
              <w:rPr>
                <w:rFonts w:ascii="Arial" w:hAnsi="Arial"/>
                <w:sz w:val="16"/>
                <w:szCs w:val="16"/>
                <w:lang w:val="bs-Latn-BA"/>
              </w:rPr>
              <w:t>.</w:t>
            </w:r>
          </w:p>
        </w:tc>
        <w:tc>
          <w:tcPr>
            <w:tcW w:w="4768" w:type="dxa"/>
            <w:shd w:val="clear" w:color="auto" w:fill="auto"/>
          </w:tcPr>
          <w:p w:rsidR="000A738C" w:rsidRPr="001E57EA" w:rsidRDefault="00635431" w:rsidP="00921AC6">
            <w:pPr>
              <w:spacing w:after="0" w:line="259" w:lineRule="auto"/>
              <w:rPr>
                <w:rFonts w:ascii="Arial" w:hAnsi="Arial"/>
                <w:sz w:val="16"/>
                <w:szCs w:val="16"/>
                <w:lang w:val="bs-Latn-BA"/>
              </w:rPr>
            </w:pPr>
            <w:r w:rsidRPr="001E57EA">
              <w:rPr>
                <w:rFonts w:ascii="Arial" w:hAnsi="Arial"/>
                <w:sz w:val="16"/>
                <w:szCs w:val="16"/>
                <w:lang w:val="bs-Latn-BA"/>
              </w:rPr>
              <w:t xml:space="preserve">- </w:t>
            </w:r>
            <w:r w:rsidR="00311D24" w:rsidRPr="001E57EA">
              <w:rPr>
                <w:rFonts w:ascii="Arial" w:hAnsi="Arial"/>
                <w:sz w:val="16"/>
                <w:szCs w:val="16"/>
                <w:lang w:val="bs-Latn-BA"/>
              </w:rPr>
              <w:t>n</w:t>
            </w:r>
            <w:r w:rsidRPr="001E57EA">
              <w:rPr>
                <w:rFonts w:ascii="Arial" w:hAnsi="Arial"/>
                <w:sz w:val="16"/>
                <w:szCs w:val="16"/>
                <w:lang w:val="bs-Latn-BA"/>
              </w:rPr>
              <w:t>eujednače</w:t>
            </w:r>
            <w:r w:rsidR="00E636B6" w:rsidRPr="001E57EA">
              <w:rPr>
                <w:rFonts w:ascii="Arial" w:hAnsi="Arial"/>
                <w:sz w:val="16"/>
                <w:szCs w:val="16"/>
                <w:lang w:val="bs-Latn-BA"/>
              </w:rPr>
              <w:t>n</w:t>
            </w:r>
            <w:r w:rsidRPr="001E57EA">
              <w:rPr>
                <w:rFonts w:ascii="Arial" w:hAnsi="Arial"/>
                <w:sz w:val="16"/>
                <w:szCs w:val="16"/>
                <w:lang w:val="bs-Latn-BA"/>
              </w:rPr>
              <w:t>ost prav</w:t>
            </w:r>
            <w:r w:rsidR="00311D24" w:rsidRPr="001E57EA">
              <w:rPr>
                <w:rFonts w:ascii="Arial" w:hAnsi="Arial"/>
                <w:sz w:val="16"/>
                <w:szCs w:val="16"/>
                <w:lang w:val="bs-Latn-BA"/>
              </w:rPr>
              <w:t>nih i institucionalnih rješenja</w:t>
            </w:r>
          </w:p>
          <w:p w:rsidR="00CE3C50" w:rsidRPr="001E57EA" w:rsidRDefault="00CE3C50" w:rsidP="00921AC6">
            <w:pPr>
              <w:spacing w:after="0" w:line="259" w:lineRule="auto"/>
              <w:rPr>
                <w:rFonts w:ascii="Arial" w:hAnsi="Arial"/>
                <w:sz w:val="16"/>
                <w:szCs w:val="16"/>
                <w:lang w:val="bs-Latn-BA"/>
              </w:rPr>
            </w:pPr>
            <w:r w:rsidRPr="001E57EA">
              <w:rPr>
                <w:rFonts w:ascii="Arial" w:hAnsi="Arial"/>
                <w:sz w:val="16"/>
                <w:szCs w:val="16"/>
                <w:lang w:val="bs-Latn-BA"/>
              </w:rPr>
              <w:t>- implementacija strateških i pravnih rješenja ovisi često o pojedincima</w:t>
            </w:r>
          </w:p>
          <w:p w:rsidR="00CE3C50" w:rsidRPr="001E57EA" w:rsidRDefault="00CE3C50" w:rsidP="00921AC6">
            <w:pPr>
              <w:spacing w:after="0" w:line="259" w:lineRule="auto"/>
              <w:rPr>
                <w:rFonts w:ascii="Arial" w:hAnsi="Arial"/>
                <w:sz w:val="16"/>
                <w:szCs w:val="16"/>
                <w:lang w:val="bs-Latn-BA"/>
              </w:rPr>
            </w:pPr>
            <w:r w:rsidRPr="001E57EA">
              <w:rPr>
                <w:rFonts w:ascii="Arial" w:hAnsi="Arial"/>
                <w:sz w:val="16"/>
                <w:szCs w:val="16"/>
                <w:lang w:val="bs-Latn-BA"/>
              </w:rPr>
              <w:t xml:space="preserve">- fluktuacija službenika </w:t>
            </w:r>
            <w:r w:rsidR="00311D24" w:rsidRPr="001E57EA">
              <w:rPr>
                <w:rFonts w:ascii="Arial" w:hAnsi="Arial"/>
                <w:sz w:val="16"/>
                <w:szCs w:val="16"/>
                <w:lang w:val="bs-Latn-BA"/>
              </w:rPr>
              <w:t>koji rade sa žrtvama i počiniocima nasilja u porodici (u svim sektorima)</w:t>
            </w:r>
          </w:p>
          <w:p w:rsidR="00331805" w:rsidRPr="001E57EA" w:rsidRDefault="00331805" w:rsidP="00921AC6">
            <w:pPr>
              <w:spacing w:after="0" w:line="259" w:lineRule="auto"/>
              <w:rPr>
                <w:rFonts w:ascii="Arial" w:hAnsi="Arial"/>
                <w:sz w:val="16"/>
                <w:szCs w:val="16"/>
                <w:lang w:val="bs-Latn-BA"/>
              </w:rPr>
            </w:pPr>
            <w:r w:rsidRPr="001E57EA">
              <w:rPr>
                <w:rFonts w:ascii="Arial" w:hAnsi="Arial"/>
                <w:sz w:val="16"/>
                <w:szCs w:val="16"/>
                <w:lang w:val="bs-Latn-BA"/>
              </w:rPr>
              <w:t xml:space="preserve">- </w:t>
            </w:r>
            <w:r w:rsidR="00311D24" w:rsidRPr="001E57EA">
              <w:rPr>
                <w:rFonts w:ascii="Arial" w:hAnsi="Arial"/>
                <w:sz w:val="16"/>
                <w:szCs w:val="16"/>
                <w:lang w:val="bs-Latn-BA"/>
              </w:rPr>
              <w:t>nedovoljna senzibiliziranost i educiranost</w:t>
            </w:r>
            <w:r w:rsidRPr="001E57EA">
              <w:rPr>
                <w:rFonts w:ascii="Arial" w:hAnsi="Arial"/>
                <w:sz w:val="16"/>
                <w:szCs w:val="16"/>
                <w:lang w:val="bs-Latn-BA"/>
              </w:rPr>
              <w:t xml:space="preserve"> </w:t>
            </w:r>
            <w:r w:rsidR="00311D24" w:rsidRPr="001E57EA">
              <w:rPr>
                <w:rFonts w:ascii="Arial" w:hAnsi="Arial"/>
                <w:sz w:val="16"/>
                <w:szCs w:val="16"/>
                <w:lang w:val="bs-Latn-BA"/>
              </w:rPr>
              <w:t>osoba koje rade sa žrtvama i počiniocima nasilja u porodici</w:t>
            </w:r>
            <w:r w:rsidRPr="001E57EA">
              <w:rPr>
                <w:rFonts w:ascii="Arial" w:hAnsi="Arial"/>
                <w:sz w:val="16"/>
                <w:szCs w:val="16"/>
                <w:lang w:val="bs-Latn-BA"/>
              </w:rPr>
              <w:t xml:space="preserve"> </w:t>
            </w:r>
          </w:p>
          <w:p w:rsidR="00331805" w:rsidRPr="001E57EA" w:rsidRDefault="00311D24" w:rsidP="00921AC6">
            <w:pPr>
              <w:spacing w:after="0" w:line="259" w:lineRule="auto"/>
              <w:rPr>
                <w:rFonts w:ascii="Arial" w:hAnsi="Arial"/>
                <w:sz w:val="16"/>
                <w:szCs w:val="16"/>
                <w:lang w:val="bs-Latn-BA"/>
              </w:rPr>
            </w:pPr>
            <w:r w:rsidRPr="001E57EA">
              <w:rPr>
                <w:rFonts w:ascii="Arial" w:hAnsi="Arial"/>
                <w:sz w:val="16"/>
                <w:szCs w:val="16"/>
                <w:lang w:val="bs-Latn-BA"/>
              </w:rPr>
              <w:t>- nepotpuno razvijena multisektorska saradnja u pojedinim lokalnim zajednicama</w:t>
            </w:r>
          </w:p>
          <w:p w:rsidR="00E9797D" w:rsidRPr="001E57EA" w:rsidRDefault="00791BAF" w:rsidP="00921AC6">
            <w:pPr>
              <w:spacing w:after="0" w:line="259" w:lineRule="auto"/>
              <w:rPr>
                <w:rFonts w:ascii="Arial" w:hAnsi="Arial"/>
                <w:sz w:val="16"/>
                <w:szCs w:val="16"/>
                <w:lang w:val="bs-Latn-BA"/>
              </w:rPr>
            </w:pPr>
            <w:r w:rsidRPr="001E57EA">
              <w:rPr>
                <w:rFonts w:ascii="Arial" w:hAnsi="Arial"/>
                <w:sz w:val="16"/>
                <w:szCs w:val="16"/>
                <w:lang w:val="bs-Latn-BA"/>
              </w:rPr>
              <w:t>- nedostatak finansijskih sredstava</w:t>
            </w:r>
            <w:r w:rsidR="00635431" w:rsidRPr="001E57EA">
              <w:rPr>
                <w:rFonts w:ascii="Arial" w:hAnsi="Arial"/>
                <w:sz w:val="16"/>
                <w:szCs w:val="16"/>
                <w:lang w:val="bs-Latn-BA"/>
              </w:rPr>
              <w:t xml:space="preserve"> za implementaciju zakona</w:t>
            </w:r>
          </w:p>
          <w:p w:rsidR="00311D24" w:rsidRPr="001E57EA" w:rsidRDefault="00311D24" w:rsidP="00921AC6">
            <w:pPr>
              <w:spacing w:after="0" w:line="259" w:lineRule="auto"/>
              <w:rPr>
                <w:rFonts w:ascii="Arial" w:hAnsi="Arial"/>
                <w:sz w:val="16"/>
                <w:szCs w:val="16"/>
                <w:lang w:val="bs-Latn-BA"/>
              </w:rPr>
            </w:pPr>
            <w:r w:rsidRPr="001E57EA">
              <w:rPr>
                <w:rFonts w:ascii="Arial" w:hAnsi="Arial"/>
                <w:sz w:val="16"/>
                <w:szCs w:val="16"/>
                <w:lang w:val="bs-Latn-BA"/>
              </w:rPr>
              <w:t xml:space="preserve">- </w:t>
            </w:r>
            <w:r w:rsidR="00E612C3" w:rsidRPr="001E57EA">
              <w:rPr>
                <w:rFonts w:ascii="Arial" w:hAnsi="Arial"/>
                <w:sz w:val="16"/>
                <w:szCs w:val="16"/>
                <w:lang w:val="bs-Latn-BA"/>
              </w:rPr>
              <w:t>nejasan</w:t>
            </w:r>
            <w:r w:rsidRPr="001E57EA">
              <w:rPr>
                <w:rFonts w:ascii="Arial" w:hAnsi="Arial"/>
                <w:sz w:val="16"/>
                <w:szCs w:val="16"/>
                <w:lang w:val="bs-Latn-BA"/>
              </w:rPr>
              <w:t xml:space="preserve"> </w:t>
            </w:r>
            <w:r w:rsidR="00D97915" w:rsidRPr="001E57EA">
              <w:rPr>
                <w:rFonts w:ascii="Arial" w:hAnsi="Arial"/>
                <w:sz w:val="16"/>
                <w:szCs w:val="16"/>
                <w:lang w:val="bs-Latn-BA"/>
              </w:rPr>
              <w:t>pravn</w:t>
            </w:r>
            <w:r w:rsidR="00E612C3" w:rsidRPr="001E57EA">
              <w:rPr>
                <w:rFonts w:ascii="Arial" w:hAnsi="Arial"/>
                <w:sz w:val="16"/>
                <w:szCs w:val="16"/>
                <w:lang w:val="bs-Latn-BA"/>
              </w:rPr>
              <w:t>i okvir</w:t>
            </w:r>
            <w:r w:rsidR="00D97915" w:rsidRPr="001E57EA">
              <w:rPr>
                <w:rFonts w:ascii="Arial" w:hAnsi="Arial"/>
                <w:sz w:val="16"/>
                <w:szCs w:val="16"/>
                <w:lang w:val="bs-Latn-BA"/>
              </w:rPr>
              <w:t xml:space="preserve"> kojim se </w:t>
            </w:r>
            <w:r w:rsidR="007B4EB1" w:rsidRPr="001E57EA">
              <w:rPr>
                <w:rFonts w:ascii="Arial" w:hAnsi="Arial"/>
                <w:sz w:val="16"/>
                <w:szCs w:val="16"/>
                <w:lang w:val="bs-Latn-BA"/>
              </w:rPr>
              <w:t xml:space="preserve">definira </w:t>
            </w:r>
            <w:r w:rsidRPr="001E57EA">
              <w:rPr>
                <w:rFonts w:ascii="Arial" w:hAnsi="Arial"/>
                <w:sz w:val="16"/>
                <w:szCs w:val="16"/>
                <w:lang w:val="bs-Latn-BA"/>
              </w:rPr>
              <w:t>status sigurnih kuća</w:t>
            </w:r>
          </w:p>
          <w:p w:rsidR="00311D24" w:rsidRPr="001E57EA" w:rsidRDefault="00311D24" w:rsidP="00921AC6">
            <w:pPr>
              <w:spacing w:after="0" w:line="259" w:lineRule="auto"/>
              <w:rPr>
                <w:rFonts w:ascii="Arial" w:hAnsi="Arial"/>
                <w:sz w:val="16"/>
                <w:szCs w:val="16"/>
                <w:lang w:val="bs-Latn-BA"/>
              </w:rPr>
            </w:pPr>
            <w:r w:rsidRPr="001E57EA">
              <w:rPr>
                <w:rFonts w:ascii="Arial" w:hAnsi="Arial"/>
                <w:sz w:val="16"/>
                <w:szCs w:val="16"/>
                <w:lang w:val="bs-Latn-BA"/>
              </w:rPr>
              <w:t>- nejednak pristup uslugama podrške i zaštite</w:t>
            </w:r>
          </w:p>
          <w:p w:rsidR="008F0958" w:rsidRPr="001E57EA" w:rsidRDefault="008F0958" w:rsidP="00921AC6">
            <w:pPr>
              <w:spacing w:after="0" w:line="259" w:lineRule="auto"/>
              <w:rPr>
                <w:rFonts w:ascii="Arial" w:hAnsi="Arial"/>
                <w:sz w:val="16"/>
                <w:szCs w:val="16"/>
                <w:lang w:val="bs-Latn-BA"/>
              </w:rPr>
            </w:pPr>
            <w:r w:rsidRPr="001E57EA">
              <w:rPr>
                <w:rFonts w:ascii="Arial" w:hAnsi="Arial"/>
                <w:sz w:val="16"/>
                <w:szCs w:val="16"/>
                <w:lang w:val="bs-Latn-BA"/>
              </w:rPr>
              <w:t>- nedovoljni kapaciteti za zbrinjavanje djece žrtava nasilja u porodici</w:t>
            </w:r>
          </w:p>
          <w:p w:rsidR="008F0958" w:rsidRPr="001E57EA" w:rsidRDefault="008F0958" w:rsidP="00921AC6">
            <w:pPr>
              <w:spacing w:after="0" w:line="259" w:lineRule="auto"/>
              <w:rPr>
                <w:rFonts w:ascii="Arial" w:hAnsi="Arial"/>
                <w:sz w:val="16"/>
                <w:szCs w:val="16"/>
                <w:lang w:val="bs-Latn-BA"/>
              </w:rPr>
            </w:pPr>
            <w:r w:rsidRPr="001E57EA">
              <w:rPr>
                <w:rFonts w:ascii="Arial" w:hAnsi="Arial"/>
                <w:sz w:val="16"/>
                <w:szCs w:val="16"/>
                <w:lang w:val="bs-Latn-BA"/>
              </w:rPr>
              <w:t>- nedostatak smještajnih kapaciteta za muškarce žrtve nasilja u porodici</w:t>
            </w:r>
          </w:p>
        </w:tc>
      </w:tr>
      <w:tr w:rsidR="001E57EA" w:rsidRPr="001E57EA" w:rsidTr="00921AC6">
        <w:tc>
          <w:tcPr>
            <w:tcW w:w="4248" w:type="dxa"/>
            <w:shd w:val="clear" w:color="auto" w:fill="auto"/>
          </w:tcPr>
          <w:p w:rsidR="000A738C" w:rsidRPr="001E57EA" w:rsidRDefault="000A738C" w:rsidP="00921AC6">
            <w:pPr>
              <w:spacing w:after="0" w:line="259" w:lineRule="auto"/>
              <w:rPr>
                <w:rFonts w:ascii="Arial" w:hAnsi="Arial"/>
                <w:b/>
                <w:sz w:val="16"/>
                <w:szCs w:val="16"/>
                <w:lang w:val="bs-Latn-BA"/>
              </w:rPr>
            </w:pPr>
            <w:r w:rsidRPr="001E57EA">
              <w:rPr>
                <w:rFonts w:ascii="Arial" w:hAnsi="Arial"/>
                <w:b/>
                <w:sz w:val="16"/>
                <w:szCs w:val="16"/>
                <w:lang w:val="bs-Latn-BA"/>
              </w:rPr>
              <w:t>PRI</w:t>
            </w:r>
            <w:r w:rsidR="00CE3C50" w:rsidRPr="001E57EA">
              <w:rPr>
                <w:rFonts w:ascii="Arial" w:hAnsi="Arial"/>
                <w:b/>
                <w:sz w:val="16"/>
                <w:szCs w:val="16"/>
                <w:lang w:val="bs-Latn-BA"/>
              </w:rPr>
              <w:t>LIKE</w:t>
            </w:r>
          </w:p>
        </w:tc>
        <w:tc>
          <w:tcPr>
            <w:tcW w:w="4768" w:type="dxa"/>
            <w:shd w:val="clear" w:color="auto" w:fill="auto"/>
          </w:tcPr>
          <w:p w:rsidR="000A738C" w:rsidRPr="001E57EA" w:rsidRDefault="000A738C" w:rsidP="00921AC6">
            <w:pPr>
              <w:spacing w:after="0" w:line="259" w:lineRule="auto"/>
              <w:rPr>
                <w:rFonts w:ascii="Arial" w:hAnsi="Arial"/>
                <w:b/>
                <w:sz w:val="16"/>
                <w:szCs w:val="16"/>
                <w:lang w:val="bs-Latn-BA"/>
              </w:rPr>
            </w:pPr>
            <w:r w:rsidRPr="001E57EA">
              <w:rPr>
                <w:rFonts w:ascii="Arial" w:hAnsi="Arial"/>
                <w:b/>
                <w:sz w:val="16"/>
                <w:szCs w:val="16"/>
                <w:lang w:val="bs-Latn-BA"/>
              </w:rPr>
              <w:t>OPASNOSTI</w:t>
            </w:r>
          </w:p>
        </w:tc>
      </w:tr>
      <w:tr w:rsidR="00A4073F" w:rsidRPr="001E57EA" w:rsidTr="00921AC6">
        <w:tc>
          <w:tcPr>
            <w:tcW w:w="4248" w:type="dxa"/>
            <w:shd w:val="clear" w:color="auto" w:fill="auto"/>
          </w:tcPr>
          <w:p w:rsidR="000A738C" w:rsidRPr="001E57EA" w:rsidRDefault="00CE3C50" w:rsidP="00921AC6">
            <w:pPr>
              <w:spacing w:after="0" w:line="259" w:lineRule="auto"/>
              <w:rPr>
                <w:rFonts w:ascii="Arial" w:hAnsi="Arial"/>
                <w:sz w:val="16"/>
                <w:szCs w:val="16"/>
                <w:lang w:val="bs-Latn-BA"/>
              </w:rPr>
            </w:pPr>
            <w:r w:rsidRPr="001E57EA">
              <w:rPr>
                <w:rFonts w:ascii="Arial" w:hAnsi="Arial"/>
                <w:sz w:val="16"/>
                <w:szCs w:val="16"/>
                <w:lang w:val="bs-Latn-BA"/>
              </w:rPr>
              <w:t>- ratifikacija Istanbulske konvencije</w:t>
            </w:r>
          </w:p>
          <w:p w:rsidR="00E636B6" w:rsidRPr="001E57EA" w:rsidRDefault="00706B7C" w:rsidP="00921AC6">
            <w:pPr>
              <w:spacing w:after="0" w:line="259" w:lineRule="auto"/>
              <w:rPr>
                <w:rFonts w:ascii="Arial" w:hAnsi="Arial"/>
                <w:sz w:val="16"/>
                <w:szCs w:val="16"/>
                <w:lang w:val="bs-Latn-BA"/>
              </w:rPr>
            </w:pPr>
            <w:r w:rsidRPr="001E57EA">
              <w:rPr>
                <w:rFonts w:ascii="Arial" w:hAnsi="Arial"/>
                <w:sz w:val="16"/>
                <w:szCs w:val="16"/>
                <w:lang w:val="bs-Latn-BA"/>
              </w:rPr>
              <w:t>- direktna primjena Istanbulske i CEDAW konvencije u okolnostima nedovoljnog domaćeg pravnog okvira</w:t>
            </w:r>
          </w:p>
          <w:p w:rsidR="00E636B6" w:rsidRPr="001E57EA" w:rsidRDefault="00E636B6" w:rsidP="00921AC6">
            <w:pPr>
              <w:spacing w:after="0" w:line="259" w:lineRule="auto"/>
              <w:rPr>
                <w:rFonts w:ascii="Arial" w:hAnsi="Arial"/>
                <w:sz w:val="16"/>
                <w:szCs w:val="16"/>
                <w:lang w:val="bs-Latn-BA"/>
              </w:rPr>
            </w:pPr>
            <w:r w:rsidRPr="001E57EA">
              <w:rPr>
                <w:rFonts w:ascii="Arial" w:hAnsi="Arial"/>
                <w:sz w:val="16"/>
                <w:szCs w:val="16"/>
                <w:lang w:val="bs-Latn-BA"/>
              </w:rPr>
              <w:t>- usklađivanje zakona sa Istanbulskom konvencijom</w:t>
            </w:r>
          </w:p>
          <w:p w:rsidR="00706B7C" w:rsidRPr="001E57EA" w:rsidRDefault="00706B7C" w:rsidP="00921AC6">
            <w:pPr>
              <w:spacing w:after="0" w:line="259" w:lineRule="auto"/>
              <w:rPr>
                <w:rFonts w:ascii="Arial" w:hAnsi="Arial"/>
                <w:sz w:val="16"/>
                <w:szCs w:val="16"/>
                <w:lang w:val="bs-Latn-BA"/>
              </w:rPr>
            </w:pPr>
            <w:r w:rsidRPr="001E57EA">
              <w:rPr>
                <w:rFonts w:ascii="Arial" w:hAnsi="Arial"/>
                <w:sz w:val="16"/>
                <w:szCs w:val="16"/>
                <w:lang w:val="bs-Latn-BA"/>
              </w:rPr>
              <w:t xml:space="preserve">- osnaživanje žrtava </w:t>
            </w:r>
            <w:r w:rsidR="00380DE3" w:rsidRPr="001E57EA">
              <w:rPr>
                <w:rFonts w:ascii="Arial" w:hAnsi="Arial"/>
                <w:sz w:val="16"/>
                <w:szCs w:val="16"/>
                <w:lang w:val="bs-Latn-BA"/>
              </w:rPr>
              <w:t xml:space="preserve">nasilja </w:t>
            </w:r>
            <w:r w:rsidRPr="001E57EA">
              <w:rPr>
                <w:rFonts w:ascii="Arial" w:hAnsi="Arial"/>
                <w:sz w:val="16"/>
                <w:szCs w:val="16"/>
                <w:lang w:val="bs-Latn-BA"/>
              </w:rPr>
              <w:t>za prijavljivanje nasilja i kršenja izrečen</w:t>
            </w:r>
            <w:r w:rsidR="00380DE3" w:rsidRPr="001E57EA">
              <w:rPr>
                <w:rFonts w:ascii="Arial" w:hAnsi="Arial"/>
                <w:sz w:val="16"/>
                <w:szCs w:val="16"/>
                <w:lang w:val="bs-Latn-BA"/>
              </w:rPr>
              <w:t>ih</w:t>
            </w:r>
            <w:r w:rsidRPr="001E57EA">
              <w:rPr>
                <w:rFonts w:ascii="Arial" w:hAnsi="Arial"/>
                <w:sz w:val="16"/>
                <w:szCs w:val="16"/>
                <w:lang w:val="bs-Latn-BA"/>
              </w:rPr>
              <w:t xml:space="preserve"> zaštitn</w:t>
            </w:r>
            <w:r w:rsidR="00380DE3" w:rsidRPr="001E57EA">
              <w:rPr>
                <w:rFonts w:ascii="Arial" w:hAnsi="Arial"/>
                <w:sz w:val="16"/>
                <w:szCs w:val="16"/>
                <w:lang w:val="bs-Latn-BA"/>
              </w:rPr>
              <w:t>ih</w:t>
            </w:r>
            <w:r w:rsidRPr="001E57EA">
              <w:rPr>
                <w:rFonts w:ascii="Arial" w:hAnsi="Arial"/>
                <w:sz w:val="16"/>
                <w:szCs w:val="16"/>
                <w:lang w:val="bs-Latn-BA"/>
              </w:rPr>
              <w:t xml:space="preserve"> mjer</w:t>
            </w:r>
            <w:r w:rsidR="00380DE3" w:rsidRPr="001E57EA">
              <w:rPr>
                <w:rFonts w:ascii="Arial" w:hAnsi="Arial"/>
                <w:sz w:val="16"/>
                <w:szCs w:val="16"/>
                <w:lang w:val="bs-Latn-BA"/>
              </w:rPr>
              <w:t>a</w:t>
            </w:r>
          </w:p>
          <w:p w:rsidR="00706B7C" w:rsidRPr="001E57EA" w:rsidRDefault="00706B7C" w:rsidP="00921AC6">
            <w:pPr>
              <w:spacing w:after="0" w:line="259" w:lineRule="auto"/>
              <w:rPr>
                <w:rFonts w:ascii="Arial" w:hAnsi="Arial"/>
                <w:sz w:val="16"/>
                <w:szCs w:val="16"/>
                <w:lang w:val="bs-Latn-BA"/>
              </w:rPr>
            </w:pPr>
            <w:r w:rsidRPr="001E57EA">
              <w:rPr>
                <w:rFonts w:ascii="Arial" w:hAnsi="Arial"/>
                <w:sz w:val="16"/>
                <w:szCs w:val="16"/>
                <w:lang w:val="bs-Latn-BA"/>
              </w:rPr>
              <w:t>- muktisektor</w:t>
            </w:r>
            <w:r w:rsidR="00E636B6" w:rsidRPr="001E57EA">
              <w:rPr>
                <w:rFonts w:ascii="Arial" w:hAnsi="Arial"/>
                <w:sz w:val="16"/>
                <w:szCs w:val="16"/>
                <w:lang w:val="bs-Latn-BA"/>
              </w:rPr>
              <w:t>ska</w:t>
            </w:r>
            <w:r w:rsidRPr="001E57EA">
              <w:rPr>
                <w:rFonts w:ascii="Arial" w:hAnsi="Arial"/>
                <w:sz w:val="16"/>
                <w:szCs w:val="16"/>
                <w:lang w:val="bs-Latn-BA"/>
              </w:rPr>
              <w:t xml:space="preserve"> saradnja</w:t>
            </w:r>
          </w:p>
          <w:p w:rsidR="00331805" w:rsidRPr="001E57EA" w:rsidRDefault="00331805" w:rsidP="00921AC6">
            <w:pPr>
              <w:spacing w:after="0" w:line="259" w:lineRule="auto"/>
              <w:rPr>
                <w:rFonts w:ascii="Arial" w:hAnsi="Arial"/>
                <w:sz w:val="16"/>
                <w:szCs w:val="16"/>
                <w:lang w:val="bs-Latn-BA"/>
              </w:rPr>
            </w:pPr>
            <w:r w:rsidRPr="001E57EA">
              <w:rPr>
                <w:rFonts w:ascii="Arial" w:hAnsi="Arial"/>
                <w:sz w:val="16"/>
                <w:szCs w:val="16"/>
                <w:lang w:val="bs-Latn-BA"/>
              </w:rPr>
              <w:t xml:space="preserve">- </w:t>
            </w:r>
            <w:r w:rsidR="00E636B6" w:rsidRPr="001E57EA">
              <w:rPr>
                <w:rFonts w:ascii="Arial" w:hAnsi="Arial"/>
                <w:sz w:val="16"/>
                <w:szCs w:val="16"/>
                <w:lang w:val="bs-Latn-BA"/>
              </w:rPr>
              <w:t xml:space="preserve">širenje mreže stručnih lica </w:t>
            </w:r>
            <w:r w:rsidR="00380DE3" w:rsidRPr="001E57EA">
              <w:rPr>
                <w:rFonts w:ascii="Arial" w:hAnsi="Arial"/>
                <w:sz w:val="16"/>
                <w:szCs w:val="16"/>
                <w:lang w:val="bs-Latn-BA"/>
              </w:rPr>
              <w:t>educiranih</w:t>
            </w:r>
            <w:r w:rsidR="00E636B6" w:rsidRPr="001E57EA">
              <w:rPr>
                <w:rFonts w:ascii="Arial" w:hAnsi="Arial"/>
                <w:sz w:val="16"/>
                <w:szCs w:val="16"/>
                <w:lang w:val="bs-Latn-BA"/>
              </w:rPr>
              <w:t xml:space="preserve"> i senzibiliziranih za rad sa žrtvama i počiniocima nas</w:t>
            </w:r>
            <w:r w:rsidR="00380DE3" w:rsidRPr="001E57EA">
              <w:rPr>
                <w:rFonts w:ascii="Arial" w:hAnsi="Arial"/>
                <w:sz w:val="16"/>
                <w:szCs w:val="16"/>
                <w:lang w:val="bs-Latn-BA"/>
              </w:rPr>
              <w:t>i</w:t>
            </w:r>
            <w:r w:rsidR="00E636B6" w:rsidRPr="001E57EA">
              <w:rPr>
                <w:rFonts w:ascii="Arial" w:hAnsi="Arial"/>
                <w:sz w:val="16"/>
                <w:szCs w:val="16"/>
                <w:lang w:val="bs-Latn-BA"/>
              </w:rPr>
              <w:t>lja u porodici</w:t>
            </w:r>
            <w:r w:rsidRPr="001E57EA">
              <w:rPr>
                <w:rFonts w:ascii="Arial" w:hAnsi="Arial"/>
                <w:sz w:val="16"/>
                <w:szCs w:val="16"/>
                <w:lang w:val="bs-Latn-BA"/>
              </w:rPr>
              <w:t xml:space="preserve"> </w:t>
            </w:r>
          </w:p>
        </w:tc>
        <w:tc>
          <w:tcPr>
            <w:tcW w:w="4768" w:type="dxa"/>
            <w:shd w:val="clear" w:color="auto" w:fill="auto"/>
          </w:tcPr>
          <w:p w:rsidR="00311D24" w:rsidRPr="001E57EA" w:rsidRDefault="00311D24" w:rsidP="00921AC6">
            <w:pPr>
              <w:spacing w:after="0" w:line="259" w:lineRule="auto"/>
              <w:rPr>
                <w:rFonts w:ascii="Arial" w:hAnsi="Arial"/>
                <w:sz w:val="16"/>
                <w:szCs w:val="16"/>
                <w:lang w:val="bs-Latn-BA"/>
              </w:rPr>
            </w:pPr>
            <w:r w:rsidRPr="001E57EA">
              <w:rPr>
                <w:rFonts w:ascii="Arial" w:hAnsi="Arial"/>
                <w:sz w:val="16"/>
                <w:szCs w:val="16"/>
                <w:lang w:val="bs-Latn-BA"/>
              </w:rPr>
              <w:t xml:space="preserve">- šutnja i </w:t>
            </w:r>
            <w:r w:rsidR="007B4EB1" w:rsidRPr="001E57EA">
              <w:rPr>
                <w:rFonts w:ascii="Arial" w:hAnsi="Arial"/>
                <w:sz w:val="16"/>
                <w:szCs w:val="16"/>
                <w:lang w:val="bs-Latn-BA"/>
              </w:rPr>
              <w:t xml:space="preserve">toleriranje </w:t>
            </w:r>
            <w:r w:rsidRPr="001E57EA">
              <w:rPr>
                <w:rFonts w:ascii="Arial" w:hAnsi="Arial"/>
                <w:sz w:val="16"/>
                <w:szCs w:val="16"/>
                <w:lang w:val="bs-Latn-BA"/>
              </w:rPr>
              <w:t>problema</w:t>
            </w:r>
          </w:p>
          <w:p w:rsidR="00311D24" w:rsidRPr="001E57EA" w:rsidRDefault="00311D24" w:rsidP="00921AC6">
            <w:pPr>
              <w:spacing w:after="0" w:line="259" w:lineRule="auto"/>
              <w:rPr>
                <w:rFonts w:ascii="Arial" w:hAnsi="Arial"/>
                <w:sz w:val="16"/>
                <w:szCs w:val="16"/>
                <w:lang w:val="bs-Latn-BA"/>
              </w:rPr>
            </w:pPr>
            <w:r w:rsidRPr="001E57EA">
              <w:rPr>
                <w:rFonts w:ascii="Arial" w:hAnsi="Arial"/>
                <w:sz w:val="16"/>
                <w:szCs w:val="16"/>
                <w:lang w:val="bs-Latn-BA"/>
              </w:rPr>
              <w:t xml:space="preserve">- nerazumjevanje problema nasilja u porodici i </w:t>
            </w:r>
            <w:r w:rsidR="00380DE3" w:rsidRPr="001E57EA">
              <w:rPr>
                <w:rFonts w:ascii="Arial" w:hAnsi="Arial"/>
                <w:sz w:val="16"/>
                <w:szCs w:val="16"/>
                <w:lang w:val="bs-Latn-BA"/>
              </w:rPr>
              <w:t xml:space="preserve">nasilja </w:t>
            </w:r>
            <w:r w:rsidRPr="001E57EA">
              <w:rPr>
                <w:rFonts w:ascii="Arial" w:hAnsi="Arial"/>
                <w:sz w:val="16"/>
                <w:szCs w:val="16"/>
                <w:lang w:val="bs-Latn-BA"/>
              </w:rPr>
              <w:t>prema ženama</w:t>
            </w:r>
          </w:p>
          <w:p w:rsidR="00311D24" w:rsidRPr="001E57EA" w:rsidRDefault="00311D24" w:rsidP="00921AC6">
            <w:pPr>
              <w:spacing w:after="0" w:line="259" w:lineRule="auto"/>
              <w:rPr>
                <w:rFonts w:ascii="Arial" w:hAnsi="Arial"/>
                <w:sz w:val="16"/>
                <w:szCs w:val="16"/>
                <w:lang w:val="bs-Latn-BA"/>
              </w:rPr>
            </w:pPr>
            <w:r w:rsidRPr="001E57EA">
              <w:rPr>
                <w:rFonts w:ascii="Arial" w:hAnsi="Arial"/>
                <w:sz w:val="16"/>
                <w:szCs w:val="16"/>
                <w:lang w:val="bs-Latn-BA"/>
              </w:rPr>
              <w:t xml:space="preserve">- nedovoljan broj ljudskih resursa da odgovore potrebama na terenu </w:t>
            </w:r>
            <w:r w:rsidR="007B4EB1" w:rsidRPr="001E57EA">
              <w:rPr>
                <w:rFonts w:ascii="Arial" w:hAnsi="Arial"/>
                <w:sz w:val="16"/>
                <w:szCs w:val="16"/>
                <w:lang w:val="bs-Latn-BA"/>
              </w:rPr>
              <w:t>kada je riječ o</w:t>
            </w:r>
            <w:r w:rsidRPr="001E57EA">
              <w:rPr>
                <w:rFonts w:ascii="Arial" w:hAnsi="Arial"/>
                <w:sz w:val="16"/>
                <w:szCs w:val="16"/>
                <w:lang w:val="bs-Latn-BA"/>
              </w:rPr>
              <w:t xml:space="preserve"> </w:t>
            </w:r>
            <w:r w:rsidR="007B4EB1" w:rsidRPr="001E57EA">
              <w:rPr>
                <w:rFonts w:ascii="Arial" w:hAnsi="Arial"/>
                <w:sz w:val="16"/>
                <w:szCs w:val="16"/>
                <w:lang w:val="bs-Latn-BA"/>
              </w:rPr>
              <w:t>prevenciji</w:t>
            </w:r>
            <w:r w:rsidRPr="001E57EA">
              <w:rPr>
                <w:rFonts w:ascii="Arial" w:hAnsi="Arial"/>
                <w:sz w:val="16"/>
                <w:szCs w:val="16"/>
                <w:lang w:val="bs-Latn-BA"/>
              </w:rPr>
              <w:t xml:space="preserve"> i </w:t>
            </w:r>
            <w:r w:rsidR="007B4EB1" w:rsidRPr="001E57EA">
              <w:rPr>
                <w:rFonts w:ascii="Arial" w:hAnsi="Arial"/>
                <w:sz w:val="16"/>
                <w:szCs w:val="16"/>
                <w:lang w:val="bs-Latn-BA"/>
              </w:rPr>
              <w:t>zaštiti</w:t>
            </w:r>
          </w:p>
          <w:p w:rsidR="000A738C" w:rsidRPr="001E57EA" w:rsidRDefault="00CE3C50" w:rsidP="00921AC6">
            <w:pPr>
              <w:spacing w:after="0" w:line="259" w:lineRule="auto"/>
              <w:rPr>
                <w:rFonts w:ascii="Arial" w:hAnsi="Arial"/>
                <w:sz w:val="16"/>
                <w:szCs w:val="16"/>
                <w:lang w:val="bs-Latn-BA"/>
              </w:rPr>
            </w:pPr>
            <w:r w:rsidRPr="001E57EA">
              <w:rPr>
                <w:rFonts w:ascii="Arial" w:hAnsi="Arial"/>
                <w:sz w:val="16"/>
                <w:szCs w:val="16"/>
                <w:lang w:val="bs-Latn-BA"/>
              </w:rPr>
              <w:t>- odlazak kadrova</w:t>
            </w:r>
          </w:p>
          <w:p w:rsidR="00331805" w:rsidRPr="001E57EA" w:rsidRDefault="00331805" w:rsidP="00921AC6">
            <w:pPr>
              <w:spacing w:after="0" w:line="259" w:lineRule="auto"/>
              <w:rPr>
                <w:rFonts w:ascii="Arial" w:hAnsi="Arial"/>
                <w:sz w:val="16"/>
                <w:szCs w:val="16"/>
                <w:lang w:val="bs-Latn-BA"/>
              </w:rPr>
            </w:pPr>
          </w:p>
        </w:tc>
      </w:tr>
    </w:tbl>
    <w:p w:rsidR="007B01E5" w:rsidRPr="001E57EA" w:rsidRDefault="007B01E5" w:rsidP="007B01E5">
      <w:pPr>
        <w:pStyle w:val="1naslov"/>
        <w:numPr>
          <w:ilvl w:val="0"/>
          <w:numId w:val="0"/>
        </w:numPr>
        <w:rPr>
          <w:color w:val="auto"/>
        </w:rPr>
      </w:pPr>
      <w:bookmarkStart w:id="21" w:name="_Toc145323817"/>
    </w:p>
    <w:p w:rsidR="007B01E5" w:rsidRPr="001E57EA" w:rsidRDefault="007B01E5">
      <w:pPr>
        <w:spacing w:after="0"/>
        <w:rPr>
          <w:rFonts w:ascii="Arial" w:eastAsia="Times New Roman" w:hAnsi="Arial" w:cs="Times New Roman"/>
          <w:b/>
          <w:sz w:val="44"/>
          <w:szCs w:val="32"/>
          <w:lang w:val="bs-Latn-BA"/>
        </w:rPr>
      </w:pPr>
      <w:r w:rsidRPr="001E57EA">
        <w:br w:type="page"/>
      </w:r>
    </w:p>
    <w:p w:rsidR="00753FDE" w:rsidRPr="001E57EA" w:rsidRDefault="00753FDE" w:rsidP="00390729">
      <w:pPr>
        <w:pStyle w:val="1naslov"/>
        <w:rPr>
          <w:color w:val="auto"/>
        </w:rPr>
      </w:pPr>
      <w:r w:rsidRPr="001E57EA">
        <w:rPr>
          <w:color w:val="auto"/>
        </w:rPr>
        <w:lastRenderedPageBreak/>
        <w:t>Strateški cilj</w:t>
      </w:r>
      <w:r w:rsidR="00FA4560" w:rsidRPr="001E57EA">
        <w:rPr>
          <w:color w:val="auto"/>
        </w:rPr>
        <w:t>: Smanjiti nasilje u porodici</w:t>
      </w:r>
      <w:bookmarkEnd w:id="21"/>
    </w:p>
    <w:p w:rsidR="008B567A" w:rsidRPr="001E57EA" w:rsidRDefault="00F05452" w:rsidP="00BF3ED5">
      <w:pPr>
        <w:pStyle w:val="TekstStrategija"/>
      </w:pPr>
      <w:r w:rsidRPr="001E57EA">
        <w:t>Sistemsko sveobuhvatno djelovanje kroz prevenciju nasilja u porodici, efikasnu zaštitu žrtava nasilja, pravovremene i odgovarajuće istražne i pravosudne radnje u slučajevima kada se nasilje desi</w:t>
      </w:r>
      <w:r w:rsidR="00540771" w:rsidRPr="001E57EA">
        <w:t>,</w:t>
      </w:r>
      <w:r w:rsidRPr="001E57EA">
        <w:t xml:space="preserve"> imaju za cilj smanjenje nasilja u porodici. Smanjenje nasilja u porodici zahtijeva promjenu cjelokupne društvene svijesti kako bi se nasilje kao takvo u društvu prepoznalo, osigurao adekvatan društveni odgovor, te preduzeli koraci ka promjeni društvenih obrazaca ponašanja. Također, prijavljeni slučajevi nasilja zahtijevaju pravovremen i odgovarajući društveni odgovor, kako bi se zaštitile žrtve nasilja, a počinioci </w:t>
      </w:r>
      <w:r w:rsidR="00A33AEE" w:rsidRPr="001E57EA">
        <w:t>sankcionirali</w:t>
      </w:r>
      <w:r w:rsidRPr="001E57EA">
        <w:t xml:space="preserve"> i na taj način</w:t>
      </w:r>
      <w:r w:rsidR="007B4EB1" w:rsidRPr="001E57EA">
        <w:t xml:space="preserve">, </w:t>
      </w:r>
      <w:r w:rsidRPr="001E57EA">
        <w:t>također</w:t>
      </w:r>
      <w:r w:rsidR="007B4EB1" w:rsidRPr="001E57EA">
        <w:t>,</w:t>
      </w:r>
      <w:r w:rsidRPr="001E57EA">
        <w:t xml:space="preserve"> preveniralo buduće nasilje.</w:t>
      </w:r>
      <w:r w:rsidR="00396181" w:rsidRPr="001E57EA">
        <w:t xml:space="preserve"> Podizanje svijesti o nasilju u porodici</w:t>
      </w:r>
      <w:r w:rsidR="00540771" w:rsidRPr="001E57EA">
        <w:t>,</w:t>
      </w:r>
      <w:r w:rsidR="00396181" w:rsidRPr="001E57EA">
        <w:t xml:space="preserve"> kao društveno neprihvatljivom obliku ponašanja</w:t>
      </w:r>
      <w:r w:rsidR="00540771" w:rsidRPr="001E57EA">
        <w:t>,</w:t>
      </w:r>
      <w:r w:rsidR="00396181" w:rsidRPr="001E57EA">
        <w:t xml:space="preserve"> kratkoročno može dovesti do povećanog broja prijavljenih slučajeva nasilja</w:t>
      </w:r>
      <w:r w:rsidR="00A33AEE" w:rsidRPr="001E57EA">
        <w:t>. M</w:t>
      </w:r>
      <w:r w:rsidR="00915D8F" w:rsidRPr="001E57EA">
        <w:t xml:space="preserve">eđutim, </w:t>
      </w:r>
      <w:r w:rsidR="0058009E" w:rsidRPr="001E57EA">
        <w:t>adekvatan društveni odgovor i zaštita žrtava uz sveobuhvatne preventivne radnje</w:t>
      </w:r>
      <w:r w:rsidR="00540771" w:rsidRPr="001E57EA">
        <w:t>,</w:t>
      </w:r>
      <w:r w:rsidR="00915D8F" w:rsidRPr="001E57EA">
        <w:t xml:space="preserve"> dugoročno vodi do društva sa nultom tolerancijom na nasilje i </w:t>
      </w:r>
      <w:r w:rsidR="00114125" w:rsidRPr="001E57EA">
        <w:t>stvarnom smanjenju nasilja u porodici.</w:t>
      </w:r>
    </w:p>
    <w:p w:rsidR="00540771" w:rsidRPr="001E57EA" w:rsidRDefault="00540771"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28"/>
        <w:gridCol w:w="1946"/>
        <w:gridCol w:w="1435"/>
      </w:tblGrid>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Indikator na nivou cilja: Smanjiti nasilje u porodici</w:t>
            </w:r>
          </w:p>
        </w:tc>
        <w:tc>
          <w:tcPr>
            <w:tcW w:w="1228" w:type="dxa"/>
            <w:shd w:val="clear" w:color="auto" w:fill="auto"/>
          </w:tcPr>
          <w:p w:rsidR="008B567A" w:rsidRPr="001E57EA" w:rsidRDefault="008B567A" w:rsidP="00BF3ED5">
            <w:pPr>
              <w:pStyle w:val="TekstStrategija"/>
              <w:rPr>
                <w:sz w:val="16"/>
              </w:rPr>
            </w:pPr>
            <w:r w:rsidRPr="001E57EA">
              <w:rPr>
                <w:sz w:val="16"/>
              </w:rPr>
              <w:t>Izvor</w:t>
            </w:r>
          </w:p>
        </w:tc>
        <w:tc>
          <w:tcPr>
            <w:tcW w:w="1946" w:type="dxa"/>
            <w:shd w:val="clear" w:color="auto" w:fill="auto"/>
          </w:tcPr>
          <w:p w:rsidR="008B567A" w:rsidRPr="001E57EA" w:rsidRDefault="008B567A" w:rsidP="00BF3ED5">
            <w:pPr>
              <w:pStyle w:val="TekstStrategija"/>
              <w:rPr>
                <w:sz w:val="16"/>
              </w:rPr>
            </w:pPr>
            <w:r w:rsidRPr="001E57EA">
              <w:rPr>
                <w:sz w:val="16"/>
              </w:rPr>
              <w:t>Polazna vrijednost</w:t>
            </w:r>
          </w:p>
        </w:tc>
        <w:tc>
          <w:tcPr>
            <w:tcW w:w="0" w:type="auto"/>
            <w:shd w:val="clear" w:color="auto" w:fill="auto"/>
          </w:tcPr>
          <w:p w:rsidR="008B567A" w:rsidRPr="001E57EA" w:rsidRDefault="008B567A" w:rsidP="00BF3ED5">
            <w:pPr>
              <w:pStyle w:val="TekstStrategija"/>
              <w:rPr>
                <w:sz w:val="16"/>
              </w:rPr>
            </w:pPr>
            <w:r w:rsidRPr="001E57EA">
              <w:rPr>
                <w:sz w:val="16"/>
              </w:rPr>
              <w:t>Ciljana vrijednost</w:t>
            </w:r>
          </w:p>
        </w:tc>
      </w:tr>
      <w:tr w:rsidR="008B567A" w:rsidRPr="001E57EA" w:rsidTr="00921AC6">
        <w:tc>
          <w:tcPr>
            <w:tcW w:w="4390"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žena koje su u posljednjih 12 mjeseci doživjele neki oblik nasilja</w:t>
            </w:r>
          </w:p>
        </w:tc>
        <w:tc>
          <w:tcPr>
            <w:tcW w:w="1228"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xml:space="preserve">OSCE </w:t>
            </w:r>
            <w:r w:rsidR="00717ED9" w:rsidRPr="001E57EA">
              <w:rPr>
                <w:rFonts w:ascii="Arial" w:hAnsi="Arial" w:cs="Arial"/>
                <w:color w:val="auto"/>
                <w:sz w:val="16"/>
                <w:szCs w:val="16"/>
              </w:rPr>
              <w:t>I</w:t>
            </w:r>
            <w:r w:rsidRPr="001E57EA">
              <w:rPr>
                <w:rFonts w:ascii="Arial" w:hAnsi="Arial" w:cs="Arial"/>
                <w:color w:val="auto"/>
                <w:sz w:val="16"/>
                <w:szCs w:val="16"/>
              </w:rPr>
              <w:t>straživanje</w:t>
            </w:r>
          </w:p>
        </w:tc>
        <w:tc>
          <w:tcPr>
            <w:tcW w:w="1946"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19%</w:t>
            </w:r>
            <w:r w:rsidR="00AE7520" w:rsidRPr="001E57EA">
              <w:rPr>
                <w:rFonts w:ascii="Arial" w:hAnsi="Arial" w:cs="Arial"/>
                <w:color w:val="auto"/>
                <w:sz w:val="16"/>
                <w:szCs w:val="16"/>
              </w:rPr>
              <w:t xml:space="preserve"> (2018)</w:t>
            </w:r>
          </w:p>
        </w:tc>
        <w:tc>
          <w:tcPr>
            <w:tcW w:w="0" w:type="auto"/>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5%</w:t>
            </w:r>
            <w:r w:rsidR="00AE7520" w:rsidRPr="001E57EA">
              <w:rPr>
                <w:rFonts w:ascii="Arial" w:hAnsi="Arial" w:cs="Arial"/>
                <w:color w:val="auto"/>
                <w:sz w:val="16"/>
                <w:szCs w:val="16"/>
              </w:rPr>
              <w:t xml:space="preserve"> (2027)</w:t>
            </w:r>
          </w:p>
        </w:tc>
      </w:tr>
    </w:tbl>
    <w:p w:rsidR="0022606F" w:rsidRPr="001E57EA" w:rsidRDefault="0022606F" w:rsidP="008B567A">
      <w:pPr>
        <w:jc w:val="both"/>
        <w:rPr>
          <w:rFonts w:ascii="Arial" w:hAnsi="Arial"/>
          <w:lang w:val="de-DE"/>
        </w:rPr>
      </w:pPr>
    </w:p>
    <w:p w:rsidR="00C90720" w:rsidRPr="001E57EA" w:rsidRDefault="008B567A" w:rsidP="008B567A">
      <w:pPr>
        <w:pStyle w:val="2naslov"/>
        <w:rPr>
          <w:rFonts w:cs="Arial"/>
        </w:rPr>
      </w:pPr>
      <w:bookmarkStart w:id="22" w:name="_Toc145323818"/>
      <w:r w:rsidRPr="001E57EA">
        <w:rPr>
          <w:rFonts w:cs="Arial"/>
        </w:rPr>
        <w:t>Prioritet</w:t>
      </w:r>
      <w:r w:rsidR="00102726" w:rsidRPr="001E57EA">
        <w:rPr>
          <w:rFonts w:cs="Arial"/>
        </w:rPr>
        <w:t xml:space="preserve"> 1: </w:t>
      </w:r>
      <w:r w:rsidRPr="001E57EA">
        <w:rPr>
          <w:rFonts w:cs="Arial"/>
        </w:rPr>
        <w:t>Poboljšati sistemsku prevenciju nasilja u porodici</w:t>
      </w:r>
      <w:bookmarkEnd w:id="22"/>
    </w:p>
    <w:p w:rsidR="008B567A" w:rsidRPr="001E57EA" w:rsidRDefault="00A661E6" w:rsidP="00BF3ED5">
      <w:pPr>
        <w:pStyle w:val="TekstStrategija"/>
      </w:pPr>
      <w:r w:rsidRPr="001E57EA">
        <w:t xml:space="preserve">Sistemsko preventivno djelovanje obuhvata jasno propisane mehanizme, odgovornosti pojedinih aktera i </w:t>
      </w:r>
      <w:r w:rsidR="007B4EB1" w:rsidRPr="001E57EA">
        <w:t xml:space="preserve">definiranje </w:t>
      </w:r>
      <w:r w:rsidRPr="001E57EA">
        <w:t>jasne politike koja bi vodila promjeni individualnih obrazaca ponašanja</w:t>
      </w:r>
      <w:r w:rsidR="000A55A4" w:rsidRPr="001E57EA">
        <w:t xml:space="preserve"> i</w:t>
      </w:r>
      <w:r w:rsidRPr="001E57EA">
        <w:t xml:space="preserve"> promjeni društvene svijesti ka nultoj toleranciji na nasilje u porodici</w:t>
      </w:r>
      <w:r w:rsidR="0038143E" w:rsidRPr="001E57EA">
        <w:t xml:space="preserve"> i jačanju svijesti o potrebi prijavljivanja nasilja u porodici</w:t>
      </w:r>
      <w:r w:rsidRPr="001E57EA">
        <w:t xml:space="preserve">. S obzirom </w:t>
      </w:r>
      <w:r w:rsidR="007B4EB1" w:rsidRPr="001E57EA">
        <w:t xml:space="preserve">na to </w:t>
      </w:r>
      <w:r w:rsidRPr="001E57EA">
        <w:t>da nasilj</w:t>
      </w:r>
      <w:r w:rsidR="00E55440" w:rsidRPr="001E57EA">
        <w:t>e</w:t>
      </w:r>
      <w:r w:rsidRPr="001E57EA">
        <w:t xml:space="preserve"> u porodici ostavlja značajne psihičke, fizičke, ali i ekonomske posljedic</w:t>
      </w:r>
      <w:r w:rsidR="00E55440" w:rsidRPr="001E57EA">
        <w:t>e,</w:t>
      </w:r>
      <w:r w:rsidRPr="001E57EA">
        <w:t xml:space="preserve"> kako na žrtve nasilja, tako i na cjelokupnu društvenu zajednicu, pravovremeno prepoznavanje, sistemsko i sveobuhvatno djelovanje značajno može smanjiti </w:t>
      </w:r>
      <w:r w:rsidR="00AC1F4C" w:rsidRPr="001E57EA">
        <w:t xml:space="preserve">potrebu za </w:t>
      </w:r>
      <w:r w:rsidRPr="001E57EA">
        <w:t>r</w:t>
      </w:r>
      <w:r w:rsidR="00AC1F4C" w:rsidRPr="001E57EA">
        <w:t>esursima (finansijske, materijalne, kadrovske i institucionalne)</w:t>
      </w:r>
      <w:r w:rsidR="00921AC6" w:rsidRPr="001E57EA">
        <w:t xml:space="preserve"> </w:t>
      </w:r>
      <w:r w:rsidR="00E55440" w:rsidRPr="001E57EA">
        <w:t xml:space="preserve">koji </w:t>
      </w:r>
      <w:r w:rsidR="00AC1F4C" w:rsidRPr="001E57EA">
        <w:t>se usmjeravaju</w:t>
      </w:r>
      <w:r w:rsidRPr="001E57EA">
        <w:t xml:space="preserve"> za rješavanje posljedica </w:t>
      </w:r>
      <w:r w:rsidR="00AC1F4C" w:rsidRPr="001E57EA">
        <w:t>nasilja</w:t>
      </w:r>
      <w:r w:rsidRPr="001E57EA">
        <w:t xml:space="preserve">. </w:t>
      </w:r>
      <w:r w:rsidR="007B4EB1" w:rsidRPr="001E57EA">
        <w:t>U vezi s tim</w:t>
      </w:r>
      <w:r w:rsidRPr="001E57EA">
        <w:t>, preventivno djelovanje obuhvata programe zapošljavanj</w:t>
      </w:r>
      <w:r w:rsidR="00BB2452" w:rsidRPr="001E57EA">
        <w:t>a</w:t>
      </w:r>
      <w:r w:rsidRPr="001E57EA">
        <w:t xml:space="preserve">, provođenje kampanja, obuke, </w:t>
      </w:r>
      <w:r w:rsidR="007B4EB1" w:rsidRPr="001E57EA">
        <w:t xml:space="preserve">integriranje </w:t>
      </w:r>
      <w:r w:rsidRPr="001E57EA">
        <w:t>sadržaja preve</w:t>
      </w:r>
      <w:r w:rsidR="000A55A4" w:rsidRPr="001E57EA">
        <w:t>n</w:t>
      </w:r>
      <w:r w:rsidRPr="001E57EA">
        <w:t xml:space="preserve">cije nasilja u porodici </w:t>
      </w:r>
      <w:r w:rsidR="00E55440" w:rsidRPr="001E57EA">
        <w:t>i</w:t>
      </w:r>
      <w:r w:rsidRPr="001E57EA">
        <w:t xml:space="preserve"> planove i programe formalnog obrazovanja i/ili neformalno</w:t>
      </w:r>
      <w:r w:rsidR="00E55440" w:rsidRPr="001E57EA">
        <w:t>g</w:t>
      </w:r>
      <w:r w:rsidRPr="001E57EA">
        <w:t xml:space="preserve"> </w:t>
      </w:r>
      <w:r w:rsidR="00E55440" w:rsidRPr="001E57EA">
        <w:t>obrazovanja</w:t>
      </w:r>
      <w:r w:rsidRPr="001E57EA">
        <w:t>, provođenje istraživanja, ranu detekciju nasilja</w:t>
      </w:r>
      <w:r w:rsidR="00BB2452" w:rsidRPr="001E57EA">
        <w:t>,</w:t>
      </w:r>
      <w:r w:rsidRPr="001E57EA">
        <w:t xml:space="preserve"> djelovanje </w:t>
      </w:r>
      <w:r w:rsidR="00BB2452" w:rsidRPr="001E57EA">
        <w:t>ka umanjenju</w:t>
      </w:r>
      <w:r w:rsidRPr="001E57EA">
        <w:t xml:space="preserve"> faktor</w:t>
      </w:r>
      <w:r w:rsidR="00BB2452" w:rsidRPr="001E57EA">
        <w:t>a</w:t>
      </w:r>
      <w:r w:rsidRPr="001E57EA">
        <w:t xml:space="preserve"> rizika za nasilje i druge aktivnosti </w:t>
      </w:r>
      <w:r w:rsidR="00BB2452" w:rsidRPr="001E57EA">
        <w:t xml:space="preserve">koje </w:t>
      </w:r>
      <w:r w:rsidRPr="001E57EA">
        <w:t xml:space="preserve">mogu </w:t>
      </w:r>
      <w:r w:rsidR="00E55440" w:rsidRPr="001E57EA">
        <w:t xml:space="preserve">doprinijeti </w:t>
      </w:r>
      <w:r w:rsidRPr="001E57EA">
        <w:t xml:space="preserve">razvoju svijesti o nasilju u porodici i </w:t>
      </w:r>
      <w:r w:rsidR="00BB2452" w:rsidRPr="001E57EA">
        <w:t xml:space="preserve">nasilju </w:t>
      </w:r>
      <w:r w:rsidRPr="001E57EA">
        <w:t xml:space="preserve">nad ženama, stavovima koji podržavaju nasilje nad ženama, integraciju teme o ravnopravnosti spolova u redovne edukacije u obrazovni sistem, edukacije profesionalaca, </w:t>
      </w:r>
      <w:r w:rsidR="00331805" w:rsidRPr="001E57EA">
        <w:t>mijenjanje</w:t>
      </w:r>
      <w:r w:rsidRPr="001E57EA">
        <w:t xml:space="preserve"> stereotipnih i predrasudnih stavova </w:t>
      </w:r>
      <w:r w:rsidR="00BB2452" w:rsidRPr="001E57EA">
        <w:t>o</w:t>
      </w:r>
      <w:r w:rsidRPr="001E57EA">
        <w:t xml:space="preserve"> ulozi muškaraca i žena u društvu </w:t>
      </w:r>
      <w:r w:rsidR="00331805" w:rsidRPr="001E57EA">
        <w:t>i tolerancije nasilnih postupaka kao prihvatlj</w:t>
      </w:r>
      <w:r w:rsidR="00AE15CE" w:rsidRPr="001E57EA">
        <w:t xml:space="preserve">vog načina rješavanja problema, </w:t>
      </w:r>
      <w:r w:rsidRPr="001E57EA">
        <w:t xml:space="preserve">kao i potrebne programe za </w:t>
      </w:r>
      <w:r w:rsidR="00BB2452" w:rsidRPr="001E57EA">
        <w:t>osobe koje su počinile nasilje, ali i programe za porodice iz rizičnih grupa</w:t>
      </w:r>
      <w:r w:rsidRPr="001E57EA">
        <w:t>.</w:t>
      </w:r>
      <w:r w:rsidR="00863B83" w:rsidRPr="001E57EA">
        <w:t xml:space="preserve"> </w:t>
      </w:r>
      <w:r w:rsidR="004B6A4E" w:rsidRPr="001E57EA">
        <w:t xml:space="preserve">U oblastima sporta, kulture i mladih </w:t>
      </w:r>
      <w:r w:rsidR="004B6A4E" w:rsidRPr="001E57EA">
        <w:lastRenderedPageBreak/>
        <w:t>pruža se mogućnost podrške projektima u vezi sa prevencijom i borbom protiv nasilja u porodici.</w:t>
      </w:r>
    </w:p>
    <w:p w:rsidR="00717ED9" w:rsidRPr="001E57EA" w:rsidRDefault="00717ED9"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473"/>
        <w:gridCol w:w="1435"/>
      </w:tblGrid>
      <w:tr w:rsidR="001E57EA" w:rsidRPr="001E57EA" w:rsidTr="00921AC6">
        <w:tc>
          <w:tcPr>
            <w:tcW w:w="4531" w:type="dxa"/>
            <w:shd w:val="clear" w:color="auto" w:fill="auto"/>
          </w:tcPr>
          <w:p w:rsidR="008B567A" w:rsidRPr="001E57EA" w:rsidRDefault="008B567A" w:rsidP="00BF3ED5">
            <w:pPr>
              <w:pStyle w:val="TekstStrategija"/>
              <w:rPr>
                <w:sz w:val="16"/>
              </w:rPr>
            </w:pPr>
            <w:r w:rsidRPr="001E57EA">
              <w:rPr>
                <w:sz w:val="16"/>
              </w:rPr>
              <w:t>Indikator na nivou prioriteta 1: Poboljšati sistemsku prevenciju nasilja u porodici</w:t>
            </w:r>
          </w:p>
        </w:tc>
        <w:tc>
          <w:tcPr>
            <w:tcW w:w="1560" w:type="dxa"/>
            <w:shd w:val="clear" w:color="auto" w:fill="auto"/>
          </w:tcPr>
          <w:p w:rsidR="008B567A" w:rsidRPr="001E57EA" w:rsidRDefault="008B567A" w:rsidP="00BF3ED5">
            <w:pPr>
              <w:pStyle w:val="TekstStrategija"/>
              <w:rPr>
                <w:sz w:val="16"/>
              </w:rPr>
            </w:pPr>
            <w:r w:rsidRPr="001E57EA">
              <w:rPr>
                <w:sz w:val="16"/>
              </w:rPr>
              <w:t>Izvor</w:t>
            </w:r>
          </w:p>
        </w:tc>
        <w:tc>
          <w:tcPr>
            <w:tcW w:w="1473" w:type="dxa"/>
            <w:shd w:val="clear" w:color="auto" w:fill="auto"/>
          </w:tcPr>
          <w:p w:rsidR="008B567A" w:rsidRPr="001E57EA" w:rsidRDefault="008B567A" w:rsidP="00BF3ED5">
            <w:pPr>
              <w:pStyle w:val="TekstStrategija"/>
              <w:rPr>
                <w:sz w:val="16"/>
              </w:rPr>
            </w:pPr>
            <w:r w:rsidRPr="001E57EA">
              <w:rPr>
                <w:sz w:val="16"/>
              </w:rPr>
              <w:t>Polazna vrijednost</w:t>
            </w:r>
          </w:p>
        </w:tc>
        <w:tc>
          <w:tcPr>
            <w:tcW w:w="0" w:type="auto"/>
            <w:shd w:val="clear" w:color="auto" w:fill="auto"/>
          </w:tcPr>
          <w:p w:rsidR="008B567A" w:rsidRPr="001E57EA" w:rsidRDefault="008B567A" w:rsidP="00BF3ED5">
            <w:pPr>
              <w:pStyle w:val="TekstStrategija"/>
              <w:rPr>
                <w:sz w:val="16"/>
              </w:rPr>
            </w:pPr>
            <w:r w:rsidRPr="001E57EA">
              <w:rPr>
                <w:sz w:val="16"/>
              </w:rPr>
              <w:t>Ciljana vrijednost</w:t>
            </w:r>
          </w:p>
        </w:tc>
      </w:tr>
      <w:tr w:rsidR="001E57EA" w:rsidRPr="001E57EA" w:rsidTr="00921AC6">
        <w:tc>
          <w:tcPr>
            <w:tcW w:w="4531"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prijavljenih slučajeva nasilja odmah nakon doživljenog nasilja od sadašnjeg intimnog partnera</w:t>
            </w:r>
          </w:p>
        </w:tc>
        <w:tc>
          <w:tcPr>
            <w:tcW w:w="1560"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OSCE Istraživanje</w:t>
            </w:r>
          </w:p>
        </w:tc>
        <w:tc>
          <w:tcPr>
            <w:tcW w:w="1473"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5%</w:t>
            </w:r>
            <w:r w:rsidR="008B3147" w:rsidRPr="001E57EA">
              <w:rPr>
                <w:rFonts w:ascii="Arial" w:hAnsi="Arial" w:cs="Arial"/>
                <w:color w:val="auto"/>
                <w:sz w:val="16"/>
                <w:szCs w:val="16"/>
              </w:rPr>
              <w:t xml:space="preserve"> (2018)</w:t>
            </w:r>
          </w:p>
        </w:tc>
        <w:tc>
          <w:tcPr>
            <w:tcW w:w="0" w:type="auto"/>
            <w:shd w:val="clear" w:color="auto" w:fill="auto"/>
          </w:tcPr>
          <w:p w:rsidR="008B567A" w:rsidRPr="001E57EA" w:rsidRDefault="00522005" w:rsidP="008B3147">
            <w:pPr>
              <w:pStyle w:val="Default"/>
              <w:rPr>
                <w:rFonts w:ascii="Arial" w:hAnsi="Arial" w:cs="Arial"/>
                <w:color w:val="auto"/>
                <w:sz w:val="16"/>
                <w:szCs w:val="16"/>
              </w:rPr>
            </w:pPr>
            <w:r w:rsidRPr="001E57EA">
              <w:rPr>
                <w:rFonts w:ascii="Arial" w:hAnsi="Arial" w:cs="Arial"/>
                <w:color w:val="auto"/>
                <w:sz w:val="16"/>
                <w:szCs w:val="16"/>
              </w:rPr>
              <w:t>25</w:t>
            </w:r>
            <w:r w:rsidR="008B567A" w:rsidRPr="001E57EA">
              <w:rPr>
                <w:rFonts w:ascii="Arial" w:hAnsi="Arial" w:cs="Arial"/>
                <w:color w:val="auto"/>
                <w:sz w:val="16"/>
                <w:szCs w:val="16"/>
              </w:rPr>
              <w:t>%</w:t>
            </w:r>
            <w:r w:rsidR="008B3147" w:rsidRPr="001E57EA">
              <w:rPr>
                <w:rFonts w:ascii="Arial" w:hAnsi="Arial" w:cs="Arial"/>
                <w:color w:val="auto"/>
                <w:sz w:val="16"/>
                <w:szCs w:val="16"/>
              </w:rPr>
              <w:t xml:space="preserve"> (2027)</w:t>
            </w:r>
          </w:p>
        </w:tc>
      </w:tr>
      <w:tr w:rsidR="001E57EA" w:rsidRPr="001E57EA" w:rsidTr="00921AC6">
        <w:tc>
          <w:tcPr>
            <w:tcW w:w="4531"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osoba koje smatraju da je nasilje u porodici privatna stvar</w:t>
            </w:r>
          </w:p>
        </w:tc>
        <w:tc>
          <w:tcPr>
            <w:tcW w:w="1560"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OSCE Istraživanje</w:t>
            </w:r>
          </w:p>
        </w:tc>
        <w:tc>
          <w:tcPr>
            <w:tcW w:w="1473"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25%</w:t>
            </w:r>
            <w:r w:rsidR="008B3147" w:rsidRPr="001E57EA">
              <w:rPr>
                <w:rFonts w:ascii="Arial" w:hAnsi="Arial" w:cs="Arial"/>
                <w:color w:val="auto"/>
                <w:sz w:val="16"/>
                <w:szCs w:val="16"/>
              </w:rPr>
              <w:t xml:space="preserve"> (2018)</w:t>
            </w:r>
          </w:p>
        </w:tc>
        <w:tc>
          <w:tcPr>
            <w:tcW w:w="0" w:type="auto"/>
            <w:shd w:val="clear" w:color="auto" w:fill="auto"/>
          </w:tcPr>
          <w:p w:rsidR="008B567A" w:rsidRPr="001E57EA" w:rsidRDefault="00522005" w:rsidP="008B567A">
            <w:pPr>
              <w:pStyle w:val="Default"/>
              <w:rPr>
                <w:rFonts w:ascii="Arial" w:hAnsi="Arial" w:cs="Arial"/>
                <w:color w:val="auto"/>
                <w:sz w:val="16"/>
                <w:szCs w:val="16"/>
              </w:rPr>
            </w:pPr>
            <w:r w:rsidRPr="001E57EA">
              <w:rPr>
                <w:rFonts w:ascii="Arial" w:hAnsi="Arial" w:cs="Arial"/>
                <w:color w:val="auto"/>
                <w:sz w:val="16"/>
                <w:szCs w:val="16"/>
              </w:rPr>
              <w:t>10</w:t>
            </w:r>
            <w:r w:rsidR="008B567A" w:rsidRPr="001E57EA">
              <w:rPr>
                <w:rFonts w:ascii="Arial" w:hAnsi="Arial" w:cs="Arial"/>
                <w:color w:val="auto"/>
                <w:sz w:val="16"/>
                <w:szCs w:val="16"/>
              </w:rPr>
              <w:t>%</w:t>
            </w:r>
            <w:r w:rsidR="008B3147" w:rsidRPr="001E57EA">
              <w:rPr>
                <w:rFonts w:ascii="Arial" w:hAnsi="Arial" w:cs="Arial"/>
                <w:color w:val="auto"/>
                <w:sz w:val="16"/>
                <w:szCs w:val="16"/>
              </w:rPr>
              <w:t xml:space="preserve"> (2027)</w:t>
            </w:r>
          </w:p>
        </w:tc>
      </w:tr>
      <w:tr w:rsidR="001E57EA" w:rsidRPr="001E57EA" w:rsidTr="00921AC6">
        <w:tc>
          <w:tcPr>
            <w:tcW w:w="4531" w:type="dxa"/>
            <w:shd w:val="clear" w:color="auto" w:fill="auto"/>
          </w:tcPr>
          <w:p w:rsidR="008B567A" w:rsidRPr="001E57EA" w:rsidRDefault="008B567A" w:rsidP="00BF3ED5">
            <w:pPr>
              <w:pStyle w:val="TekstStrategija"/>
              <w:rPr>
                <w:sz w:val="16"/>
              </w:rPr>
            </w:pPr>
            <w:r w:rsidRPr="001E57EA">
              <w:rPr>
                <w:sz w:val="16"/>
              </w:rPr>
              <w:t xml:space="preserve">% žena koje znaju šta učiniti u slučaju doživljenog nasilja </w:t>
            </w:r>
          </w:p>
        </w:tc>
        <w:tc>
          <w:tcPr>
            <w:tcW w:w="1560" w:type="dxa"/>
            <w:shd w:val="clear" w:color="auto" w:fill="auto"/>
          </w:tcPr>
          <w:p w:rsidR="008B567A" w:rsidRPr="001E57EA" w:rsidRDefault="008B567A" w:rsidP="00BF3ED5">
            <w:pPr>
              <w:pStyle w:val="TekstStrategija"/>
              <w:rPr>
                <w:sz w:val="16"/>
              </w:rPr>
            </w:pPr>
            <w:r w:rsidRPr="001E57EA">
              <w:rPr>
                <w:sz w:val="16"/>
              </w:rPr>
              <w:t>OSCE Istraživanje</w:t>
            </w:r>
          </w:p>
        </w:tc>
        <w:tc>
          <w:tcPr>
            <w:tcW w:w="1473" w:type="dxa"/>
            <w:shd w:val="clear" w:color="auto" w:fill="auto"/>
          </w:tcPr>
          <w:p w:rsidR="008B567A" w:rsidRPr="001E57EA" w:rsidRDefault="008B567A" w:rsidP="00BF3ED5">
            <w:pPr>
              <w:pStyle w:val="TekstStrategija"/>
              <w:rPr>
                <w:sz w:val="16"/>
              </w:rPr>
            </w:pPr>
            <w:r w:rsidRPr="001E57EA">
              <w:rPr>
                <w:sz w:val="16"/>
              </w:rPr>
              <w:t>23%</w:t>
            </w:r>
            <w:r w:rsidR="008B3147" w:rsidRPr="001E57EA">
              <w:rPr>
                <w:sz w:val="16"/>
              </w:rPr>
              <w:t xml:space="preserve"> (2018)</w:t>
            </w:r>
          </w:p>
        </w:tc>
        <w:tc>
          <w:tcPr>
            <w:tcW w:w="0" w:type="auto"/>
            <w:shd w:val="clear" w:color="auto" w:fill="auto"/>
          </w:tcPr>
          <w:p w:rsidR="008B567A" w:rsidRPr="001E57EA" w:rsidRDefault="00923877" w:rsidP="00BF3ED5">
            <w:pPr>
              <w:pStyle w:val="TekstStrategija"/>
              <w:rPr>
                <w:sz w:val="16"/>
              </w:rPr>
            </w:pPr>
            <w:r w:rsidRPr="001E57EA">
              <w:rPr>
                <w:sz w:val="16"/>
              </w:rPr>
              <w:t>5</w:t>
            </w:r>
            <w:r w:rsidR="008B567A" w:rsidRPr="001E57EA">
              <w:rPr>
                <w:sz w:val="16"/>
              </w:rPr>
              <w:t>0%</w:t>
            </w:r>
            <w:r w:rsidR="008B3147" w:rsidRPr="001E57EA">
              <w:rPr>
                <w:sz w:val="16"/>
              </w:rPr>
              <w:t xml:space="preserve"> (2027)</w:t>
            </w:r>
          </w:p>
        </w:tc>
      </w:tr>
    </w:tbl>
    <w:p w:rsidR="000A738C" w:rsidRPr="001E57EA" w:rsidRDefault="008B567A" w:rsidP="008B567A">
      <w:pPr>
        <w:pStyle w:val="3naslov"/>
        <w:rPr>
          <w:rFonts w:cs="Arial"/>
        </w:rPr>
      </w:pPr>
      <w:bookmarkStart w:id="23" w:name="_Toc145323819"/>
      <w:r w:rsidRPr="001E57EA">
        <w:rPr>
          <w:rFonts w:cs="Arial"/>
        </w:rPr>
        <w:t xml:space="preserve">Mjera: Promocija tolerancije, nenasilja i rodne </w:t>
      </w:r>
      <w:r w:rsidR="0009144E" w:rsidRPr="001E57EA">
        <w:rPr>
          <w:rFonts w:cs="Arial"/>
        </w:rPr>
        <w:t xml:space="preserve">ravnopravnosti </w:t>
      </w:r>
      <w:r w:rsidRPr="001E57EA">
        <w:rPr>
          <w:rFonts w:cs="Arial"/>
        </w:rPr>
        <w:t>u porodici i društvu</w:t>
      </w:r>
      <w:bookmarkEnd w:id="23"/>
    </w:p>
    <w:p w:rsidR="00987169" w:rsidRPr="001E57EA" w:rsidRDefault="00987169" w:rsidP="00BF3ED5">
      <w:pPr>
        <w:pStyle w:val="TekstStrategija"/>
      </w:pPr>
    </w:p>
    <w:p w:rsidR="00B04276" w:rsidRPr="001E57EA" w:rsidRDefault="000A55A4" w:rsidP="00BF3ED5">
      <w:pPr>
        <w:pStyle w:val="TekstStrategija"/>
      </w:pPr>
      <w:r w:rsidRPr="001E57EA">
        <w:t xml:space="preserve">Koristeći sve raspoložive resurse, </w:t>
      </w:r>
      <w:r w:rsidR="00923877" w:rsidRPr="001E57EA">
        <w:t xml:space="preserve">posebno </w:t>
      </w:r>
      <w:r w:rsidR="001A4B02" w:rsidRPr="001E57EA">
        <w:t xml:space="preserve">sistem </w:t>
      </w:r>
      <w:r w:rsidRPr="001E57EA">
        <w:t>formaln</w:t>
      </w:r>
      <w:r w:rsidR="001A4B02" w:rsidRPr="001E57EA">
        <w:t>og</w:t>
      </w:r>
      <w:r w:rsidRPr="001E57EA">
        <w:t xml:space="preserve"> i neformaln</w:t>
      </w:r>
      <w:r w:rsidR="001A4B02" w:rsidRPr="001E57EA">
        <w:t>og</w:t>
      </w:r>
      <w:r w:rsidRPr="001E57EA">
        <w:t xml:space="preserve"> obrazovanja, </w:t>
      </w:r>
      <w:r w:rsidR="00923877" w:rsidRPr="001E57EA">
        <w:t xml:space="preserve">te </w:t>
      </w:r>
      <w:r w:rsidRPr="001E57EA">
        <w:t>medije</w:t>
      </w:r>
      <w:r w:rsidR="00923877" w:rsidRPr="001E57EA">
        <w:t>,</w:t>
      </w:r>
      <w:r w:rsidRPr="001E57EA">
        <w:t xml:space="preserve"> potrebno je</w:t>
      </w:r>
      <w:r w:rsidR="00A661E6" w:rsidRPr="001E57EA">
        <w:t xml:space="preserve"> </w:t>
      </w:r>
      <w:r w:rsidR="000A738C" w:rsidRPr="001E57EA">
        <w:t xml:space="preserve">prevenirati nasilno rješavanje problema, te podržati projekte tolerancije i kulture dijaloga. </w:t>
      </w:r>
      <w:r w:rsidRPr="001E57EA">
        <w:t>O</w:t>
      </w:r>
      <w:r w:rsidR="000A738C" w:rsidRPr="001E57EA">
        <w:t xml:space="preserve">brazovne programe </w:t>
      </w:r>
      <w:r w:rsidRPr="001E57EA">
        <w:t xml:space="preserve">potrebno je unaprijediti sa </w:t>
      </w:r>
      <w:r w:rsidR="000A738C" w:rsidRPr="001E57EA">
        <w:t>tem</w:t>
      </w:r>
      <w:r w:rsidRPr="001E57EA">
        <w:t>ama</w:t>
      </w:r>
      <w:r w:rsidR="000A738C" w:rsidRPr="001E57EA">
        <w:t xml:space="preserve"> o prevenciji nasilja i faktorima koji mogu </w:t>
      </w:r>
      <w:r w:rsidR="007B4EB1" w:rsidRPr="001E57EA">
        <w:t xml:space="preserve">utjecati </w:t>
      </w:r>
      <w:r w:rsidR="000A738C" w:rsidRPr="001E57EA">
        <w:t xml:space="preserve">na nasilje u porodici i društvu. Zakonski okvir koji </w:t>
      </w:r>
      <w:r w:rsidR="005F6D09" w:rsidRPr="001E57EA">
        <w:t xml:space="preserve">sprečava </w:t>
      </w:r>
      <w:r w:rsidR="000A738C" w:rsidRPr="001E57EA">
        <w:t xml:space="preserve">nasilje u društvu i porodici </w:t>
      </w:r>
      <w:r w:rsidR="00BA29EF" w:rsidRPr="001E57EA">
        <w:t xml:space="preserve">je </w:t>
      </w:r>
      <w:r w:rsidR="000A738C" w:rsidRPr="001E57EA">
        <w:t>potrebno razvijati uz oštrije kazne i obavezan psihosocijaln</w:t>
      </w:r>
      <w:r w:rsidR="00B16872" w:rsidRPr="001E57EA">
        <w:t xml:space="preserve">i tretman </w:t>
      </w:r>
      <w:r w:rsidR="00C570A8" w:rsidRPr="001E57EA">
        <w:t xml:space="preserve">počinioca </w:t>
      </w:r>
      <w:r w:rsidR="00B16872" w:rsidRPr="001E57EA">
        <w:t>nasilja, kao i rad sa žrtvama nasilja</w:t>
      </w:r>
      <w:r w:rsidR="000A738C" w:rsidRPr="001E57EA">
        <w:t xml:space="preserve">. Posebnu pažnju potrebno je posvetiti </w:t>
      </w:r>
      <w:r w:rsidR="005F6D09" w:rsidRPr="001E57EA">
        <w:t xml:space="preserve">sprečavanju </w:t>
      </w:r>
      <w:r w:rsidR="000A738C" w:rsidRPr="001E57EA">
        <w:t xml:space="preserve">i </w:t>
      </w:r>
      <w:r w:rsidR="007B4EB1" w:rsidRPr="001E57EA">
        <w:t xml:space="preserve">sankcioniranju </w:t>
      </w:r>
      <w:r w:rsidR="000A738C" w:rsidRPr="001E57EA">
        <w:t>govora mržnje</w:t>
      </w:r>
      <w:r w:rsidRPr="001E57EA">
        <w:t>, uz</w:t>
      </w:r>
      <w:r w:rsidR="000A738C" w:rsidRPr="001E57EA">
        <w:t xml:space="preserve"> snažniji angažman svih pravosudnih institucija protiv govora mržnje u svim pojavnim oblicima.</w:t>
      </w:r>
      <w:r w:rsidR="00A661E6" w:rsidRPr="001E57EA">
        <w:t xml:space="preserve"> </w:t>
      </w:r>
      <w:r w:rsidR="000A738C" w:rsidRPr="001E57EA">
        <w:t>Neophodno je razvijati i specifične programe i kvalitetne usluge u svrhu smanjenja rizika od socijalne isključenosti žrtava porodičnog i vršnjačkog nasilja, posebno za rodno senzibilne kategorije društva kao što su žene i djeca žrtve porodičnog nasilja, žene u riziku od siromaštva i socijalne isključenosti, žene s invaliditetom itd.</w:t>
      </w:r>
      <w:r w:rsidR="00A661E6" w:rsidRPr="001E57EA">
        <w:t xml:space="preserve"> </w:t>
      </w:r>
      <w:r w:rsidR="00B04276" w:rsidRPr="001E57EA">
        <w:t xml:space="preserve">Neophodno je proširiti i krug </w:t>
      </w:r>
      <w:r w:rsidR="0009144E" w:rsidRPr="001E57EA">
        <w:t>st</w:t>
      </w:r>
      <w:r w:rsidR="002C41AE" w:rsidRPr="001E57EA">
        <w:t>r</w:t>
      </w:r>
      <w:r w:rsidR="0009144E" w:rsidRPr="001E57EA">
        <w:t>učnjaka</w:t>
      </w:r>
      <w:r w:rsidR="00B04276" w:rsidRPr="001E57EA">
        <w:t xml:space="preserve"> </w:t>
      </w:r>
      <w:r w:rsidR="0009144E" w:rsidRPr="001E57EA">
        <w:t xml:space="preserve">za </w:t>
      </w:r>
      <w:r w:rsidR="002C41AE" w:rsidRPr="001E57EA">
        <w:t>medije</w:t>
      </w:r>
      <w:r w:rsidR="00B04276" w:rsidRPr="001E57EA">
        <w:t>, predstavnika izvršne, zakonodavne i sudske vlasti, agencija za provedbu zakona, ustanova i nevladinih organizacija</w:t>
      </w:r>
      <w:r w:rsidR="0009144E" w:rsidRPr="001E57EA">
        <w:t>,</w:t>
      </w:r>
      <w:r w:rsidR="00B04276" w:rsidRPr="001E57EA">
        <w:t xml:space="preserve"> koj</w:t>
      </w:r>
      <w:r w:rsidR="0009144E" w:rsidRPr="001E57EA">
        <w:t>i</w:t>
      </w:r>
      <w:r w:rsidR="00B04276" w:rsidRPr="001E57EA">
        <w:t xml:space="preserve"> su osposobljeni da o tome javno govore, stoga je potrebna njihova edukacija, odnosno osposobljavanje za medijske nastupe. </w:t>
      </w:r>
      <w:r w:rsidR="00380DE3" w:rsidRPr="001E57EA">
        <w:t xml:space="preserve">Edukacija novinara o načinu izvještavanja o nasilju u porodici putem medija neophodna je radi uspostavljanja sistemskog preventivnog djelovanja putem medijskih sadržaja. Jedan od načina za širenje svijesti o prevenciji i borbi protiv nasilja u porodici su medijske kampanje, koje podrazumijevaju </w:t>
      </w:r>
      <w:r w:rsidR="0009144E" w:rsidRPr="001E57EA">
        <w:t>bilborde</w:t>
      </w:r>
      <w:r w:rsidR="00380DE3" w:rsidRPr="001E57EA">
        <w:t xml:space="preserve">, letke, spotove, ali i kontinuirano prisustvo u medijima kroz izjave, intervjue i debate stručnjaka </w:t>
      </w:r>
      <w:r w:rsidR="0009144E" w:rsidRPr="001E57EA">
        <w:t xml:space="preserve">(tematske </w:t>
      </w:r>
      <w:r w:rsidR="00380DE3" w:rsidRPr="001E57EA">
        <w:t>emisij</w:t>
      </w:r>
      <w:r w:rsidR="0009144E" w:rsidRPr="001E57EA">
        <w:t>e</w:t>
      </w:r>
      <w:r w:rsidR="00380DE3" w:rsidRPr="001E57EA">
        <w:t xml:space="preserve">, </w:t>
      </w:r>
      <w:r w:rsidR="0009144E" w:rsidRPr="001E57EA">
        <w:t xml:space="preserve">predstavnici </w:t>
      </w:r>
      <w:r w:rsidR="00380DE3" w:rsidRPr="001E57EA">
        <w:t xml:space="preserve">vlasti, </w:t>
      </w:r>
      <w:r w:rsidR="0009144E" w:rsidRPr="001E57EA">
        <w:t xml:space="preserve">ustanove </w:t>
      </w:r>
      <w:r w:rsidR="00380DE3" w:rsidRPr="001E57EA">
        <w:t xml:space="preserve">socijalne zaštite i </w:t>
      </w:r>
      <w:r w:rsidR="0009144E" w:rsidRPr="001E57EA">
        <w:t>druge javne ustanove</w:t>
      </w:r>
      <w:r w:rsidR="00380DE3" w:rsidRPr="001E57EA">
        <w:t>, te nevladin</w:t>
      </w:r>
      <w:r w:rsidR="00262157" w:rsidRPr="001E57EA">
        <w:t>e</w:t>
      </w:r>
      <w:r w:rsidR="00380DE3" w:rsidRPr="001E57EA">
        <w:t xml:space="preserve"> organizacij</w:t>
      </w:r>
      <w:r w:rsidR="00262157" w:rsidRPr="001E57EA">
        <w:t>e</w:t>
      </w:r>
      <w:r w:rsidR="0009144E" w:rsidRPr="001E57EA">
        <w:t>)</w:t>
      </w:r>
      <w:r w:rsidR="00380DE3" w:rsidRPr="001E57EA">
        <w:t xml:space="preserve">. </w:t>
      </w:r>
      <w:r w:rsidR="00B04276" w:rsidRPr="001E57EA">
        <w:t>Provođenje kampanja ima za cilj jačanje međupartnerskih odnosa i komunikacije sa djecom, promociju važnosti porodice kao temelja društva, te naglašavanje važnosti savjetodavnog rada posebno u rizičnim kategorijama (djeca, žene s invaliditetom, maloljetnički brakovi i sl.). Neophodno je</w:t>
      </w:r>
      <w:r w:rsidR="0009144E" w:rsidRPr="001E57EA">
        <w:t>,</w:t>
      </w:r>
      <w:r w:rsidR="00B04276" w:rsidRPr="001E57EA">
        <w:t xml:space="preserve"> u saradnji sa javnim servisima, te na društvenim mrežama</w:t>
      </w:r>
      <w:r w:rsidR="0009144E" w:rsidRPr="001E57EA">
        <w:t>,</w:t>
      </w:r>
      <w:r w:rsidR="00B04276" w:rsidRPr="001E57EA">
        <w:t xml:space="preserve"> kreirati obrazovne programe za djecu i mlade o prevenciji i zaštiti od nasilja u porodici</w:t>
      </w:r>
      <w:r w:rsidR="008B567A" w:rsidRPr="001E57EA">
        <w:t>.</w:t>
      </w:r>
    </w:p>
    <w:p w:rsidR="00E9797D" w:rsidRPr="001E57EA" w:rsidRDefault="00380DE3" w:rsidP="00BF3ED5">
      <w:pPr>
        <w:pStyle w:val="TekstStrategija"/>
      </w:pPr>
      <w:r w:rsidRPr="001E57EA">
        <w:t xml:space="preserve">Kako bi se pravovremeno i pravilno djelovalo, te kreirala </w:t>
      </w:r>
      <w:r w:rsidR="007B4EB1" w:rsidRPr="001E57EA">
        <w:t xml:space="preserve">opća </w:t>
      </w:r>
      <w:r w:rsidRPr="001E57EA">
        <w:t xml:space="preserve">društvena svijest, potrebno je </w:t>
      </w:r>
      <w:r w:rsidR="007B4EB1" w:rsidRPr="001E57EA">
        <w:t xml:space="preserve">definirati </w:t>
      </w:r>
      <w:r w:rsidRPr="001E57EA">
        <w:t xml:space="preserve">i provoditi sisteme obuke </w:t>
      </w:r>
      <w:r w:rsidR="007B4EB1" w:rsidRPr="001E57EA">
        <w:t xml:space="preserve">i certificiranja </w:t>
      </w:r>
      <w:r w:rsidRPr="001E57EA">
        <w:t xml:space="preserve">profesionalaca. Sistem edukacije obuhvata oficijelne programe specijalističkih obuka koje donose pojedini </w:t>
      </w:r>
      <w:r w:rsidRPr="001E57EA">
        <w:lastRenderedPageBreak/>
        <w:t xml:space="preserve">resori (policija, zdravstvo, pravosuđe, socijalna zaštita, obrazovanje i sl.). Ove obuke detaljno obrađuju način djelovanja profesionalaca u pojedinim resorima. S obzirom </w:t>
      </w:r>
      <w:r w:rsidR="007B4EB1" w:rsidRPr="001E57EA">
        <w:t xml:space="preserve">na to </w:t>
      </w:r>
      <w:r w:rsidRPr="001E57EA">
        <w:t xml:space="preserve">da je nasilje u porodici oblast koja zahtijeva multisektorski odgovor, a postupak jednog resora </w:t>
      </w:r>
      <w:r w:rsidR="007B4EB1" w:rsidRPr="001E57EA">
        <w:t xml:space="preserve">u vezi je sa </w:t>
      </w:r>
      <w:r w:rsidRPr="001E57EA">
        <w:t>rad</w:t>
      </w:r>
      <w:r w:rsidR="007B4EB1" w:rsidRPr="001E57EA">
        <w:t>om</w:t>
      </w:r>
      <w:r w:rsidRPr="001E57EA">
        <w:t xml:space="preserve"> drugog resora, veoma je važno poznavanje materije i nadležnosti, odnosno zahtjeva i potreba drugih sektora u postupku. </w:t>
      </w:r>
      <w:r w:rsidR="008F0E0F" w:rsidRPr="001E57EA">
        <w:t>Odgovor na ove zahtjeve daju multisektorske edukacije.</w:t>
      </w:r>
    </w:p>
    <w:p w:rsidR="0009144E" w:rsidRPr="001E57EA" w:rsidRDefault="0009144E"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2551"/>
        <w:gridCol w:w="1508"/>
      </w:tblGrid>
      <w:tr w:rsidR="001E57EA" w:rsidRPr="001E57EA" w:rsidTr="00805D8D">
        <w:tc>
          <w:tcPr>
            <w:tcW w:w="3681" w:type="dxa"/>
            <w:shd w:val="clear" w:color="auto" w:fill="auto"/>
          </w:tcPr>
          <w:p w:rsidR="008B567A" w:rsidRPr="001E57EA" w:rsidRDefault="008B567A" w:rsidP="00BF3ED5">
            <w:pPr>
              <w:pStyle w:val="TekstStrategija"/>
              <w:rPr>
                <w:sz w:val="16"/>
              </w:rPr>
            </w:pPr>
            <w:r w:rsidRPr="001E57EA">
              <w:rPr>
                <w:sz w:val="16"/>
              </w:rPr>
              <w:t>Indikator na nivou mjere</w:t>
            </w:r>
          </w:p>
        </w:tc>
        <w:tc>
          <w:tcPr>
            <w:tcW w:w="1276" w:type="dxa"/>
            <w:shd w:val="clear" w:color="auto" w:fill="auto"/>
          </w:tcPr>
          <w:p w:rsidR="008B567A" w:rsidRPr="001E57EA" w:rsidRDefault="008B567A" w:rsidP="00BF3ED5">
            <w:pPr>
              <w:pStyle w:val="TekstStrategija"/>
              <w:rPr>
                <w:sz w:val="16"/>
              </w:rPr>
            </w:pPr>
            <w:r w:rsidRPr="001E57EA">
              <w:rPr>
                <w:sz w:val="16"/>
              </w:rPr>
              <w:t>Izvor</w:t>
            </w:r>
          </w:p>
        </w:tc>
        <w:tc>
          <w:tcPr>
            <w:tcW w:w="2551" w:type="dxa"/>
            <w:shd w:val="clear" w:color="auto" w:fill="auto"/>
          </w:tcPr>
          <w:p w:rsidR="008B567A" w:rsidRPr="001E57EA" w:rsidRDefault="008B567A" w:rsidP="00BF3ED5">
            <w:pPr>
              <w:pStyle w:val="TekstStrategija"/>
              <w:rPr>
                <w:sz w:val="16"/>
              </w:rPr>
            </w:pPr>
            <w:r w:rsidRPr="001E57EA">
              <w:rPr>
                <w:sz w:val="16"/>
              </w:rPr>
              <w:t>Polazna vrijednost</w:t>
            </w:r>
          </w:p>
        </w:tc>
        <w:tc>
          <w:tcPr>
            <w:tcW w:w="1508" w:type="dxa"/>
            <w:shd w:val="clear" w:color="auto" w:fill="auto"/>
          </w:tcPr>
          <w:p w:rsidR="008B567A" w:rsidRPr="001E57EA" w:rsidRDefault="008B567A" w:rsidP="00BF3ED5">
            <w:pPr>
              <w:pStyle w:val="TekstStrategija"/>
              <w:rPr>
                <w:sz w:val="16"/>
              </w:rPr>
            </w:pPr>
            <w:r w:rsidRPr="001E57EA">
              <w:rPr>
                <w:sz w:val="16"/>
              </w:rPr>
              <w:t>Ciljana vrijednost</w:t>
            </w:r>
          </w:p>
        </w:tc>
      </w:tr>
      <w:tr w:rsidR="001E57EA" w:rsidRPr="001E57EA" w:rsidTr="00805D8D">
        <w:tc>
          <w:tcPr>
            <w:tcW w:w="3681"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žena žrtava nasilja u porodici</w:t>
            </w:r>
          </w:p>
        </w:tc>
        <w:tc>
          <w:tcPr>
            <w:tcW w:w="1276" w:type="dxa"/>
            <w:shd w:val="clear" w:color="auto" w:fill="auto"/>
          </w:tcPr>
          <w:p w:rsidR="008B567A" w:rsidRPr="001E57EA" w:rsidRDefault="007D71C6" w:rsidP="008B567A">
            <w:pPr>
              <w:pStyle w:val="Default"/>
              <w:rPr>
                <w:rFonts w:ascii="Arial" w:hAnsi="Arial" w:cs="Arial"/>
                <w:color w:val="auto"/>
                <w:sz w:val="16"/>
                <w:szCs w:val="16"/>
              </w:rPr>
            </w:pPr>
            <w:r w:rsidRPr="001E57EA">
              <w:rPr>
                <w:rFonts w:ascii="Arial" w:hAnsi="Arial" w:cs="Arial"/>
                <w:color w:val="auto"/>
                <w:sz w:val="16"/>
                <w:szCs w:val="16"/>
              </w:rPr>
              <w:t>VSTV</w:t>
            </w:r>
          </w:p>
        </w:tc>
        <w:tc>
          <w:tcPr>
            <w:tcW w:w="2551" w:type="dxa"/>
            <w:shd w:val="clear" w:color="auto" w:fill="auto"/>
          </w:tcPr>
          <w:p w:rsidR="008B567A" w:rsidRPr="001E57EA" w:rsidRDefault="00BF3ED5" w:rsidP="00921AC6">
            <w:pPr>
              <w:pStyle w:val="Default"/>
              <w:jc w:val="center"/>
              <w:rPr>
                <w:rFonts w:ascii="Arial" w:hAnsi="Arial" w:cs="Arial"/>
                <w:color w:val="auto"/>
                <w:sz w:val="16"/>
                <w:szCs w:val="16"/>
              </w:rPr>
            </w:pPr>
            <w:r w:rsidRPr="001E57EA">
              <w:rPr>
                <w:rFonts w:ascii="Arial" w:hAnsi="Arial" w:cs="Arial"/>
                <w:color w:val="auto"/>
                <w:sz w:val="16"/>
                <w:szCs w:val="16"/>
              </w:rPr>
              <w:t>79,11</w:t>
            </w:r>
            <w:r w:rsidR="008B567A" w:rsidRPr="001E57EA">
              <w:rPr>
                <w:rFonts w:ascii="Arial" w:hAnsi="Arial" w:cs="Arial"/>
                <w:color w:val="auto"/>
                <w:sz w:val="16"/>
                <w:szCs w:val="16"/>
              </w:rPr>
              <w:t>%</w:t>
            </w:r>
            <w:r w:rsidR="005653B9" w:rsidRPr="001E57EA">
              <w:rPr>
                <w:rFonts w:ascii="Arial" w:hAnsi="Arial" w:cs="Arial"/>
                <w:color w:val="auto"/>
                <w:sz w:val="16"/>
                <w:szCs w:val="16"/>
              </w:rPr>
              <w:t xml:space="preserve"> (20</w:t>
            </w:r>
            <w:r w:rsidRPr="001E57EA">
              <w:rPr>
                <w:rFonts w:ascii="Arial" w:hAnsi="Arial" w:cs="Arial"/>
                <w:color w:val="auto"/>
                <w:sz w:val="16"/>
                <w:szCs w:val="16"/>
              </w:rPr>
              <w:t>20</w:t>
            </w:r>
            <w:r w:rsidR="005653B9" w:rsidRPr="001E57EA">
              <w:rPr>
                <w:rFonts w:ascii="Arial" w:hAnsi="Arial" w:cs="Arial"/>
                <w:color w:val="auto"/>
                <w:sz w:val="16"/>
                <w:szCs w:val="16"/>
              </w:rPr>
              <w:t>)</w:t>
            </w:r>
          </w:p>
        </w:tc>
        <w:tc>
          <w:tcPr>
            <w:tcW w:w="1508"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60%</w:t>
            </w:r>
            <w:r w:rsidR="005653B9" w:rsidRPr="001E57EA">
              <w:rPr>
                <w:rFonts w:ascii="Arial" w:hAnsi="Arial" w:cs="Arial"/>
                <w:color w:val="auto"/>
                <w:sz w:val="16"/>
                <w:szCs w:val="16"/>
              </w:rPr>
              <w:t xml:space="preserve"> (2027)</w:t>
            </w:r>
          </w:p>
        </w:tc>
      </w:tr>
      <w:tr w:rsidR="001E57EA" w:rsidRPr="001E57EA" w:rsidTr="00805D8D">
        <w:tc>
          <w:tcPr>
            <w:tcW w:w="3681" w:type="dxa"/>
            <w:shd w:val="clear" w:color="auto" w:fill="auto"/>
          </w:tcPr>
          <w:p w:rsidR="008B567A" w:rsidRPr="001E57EA" w:rsidRDefault="008B567A" w:rsidP="008C0004">
            <w:pPr>
              <w:pStyle w:val="Default"/>
              <w:rPr>
                <w:rFonts w:ascii="Arial" w:hAnsi="Arial" w:cs="Arial"/>
                <w:color w:val="auto"/>
                <w:sz w:val="16"/>
                <w:szCs w:val="16"/>
              </w:rPr>
            </w:pPr>
            <w:r w:rsidRPr="001E57EA">
              <w:rPr>
                <w:rFonts w:ascii="Arial" w:hAnsi="Arial" w:cs="Arial"/>
                <w:color w:val="auto"/>
                <w:sz w:val="16"/>
                <w:szCs w:val="16"/>
              </w:rPr>
              <w:t>% objava u kojima je nasilje u porodici obrađeno kao društveni problem, a ne senzaci</w:t>
            </w:r>
            <w:r w:rsidR="008C0004" w:rsidRPr="001E57EA">
              <w:rPr>
                <w:rFonts w:ascii="Arial" w:hAnsi="Arial" w:cs="Arial"/>
                <w:color w:val="auto"/>
                <w:sz w:val="16"/>
                <w:szCs w:val="16"/>
              </w:rPr>
              <w:t>onalistički</w:t>
            </w:r>
          </w:p>
        </w:tc>
        <w:tc>
          <w:tcPr>
            <w:tcW w:w="1276"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Istraživanje UNWOMEN</w:t>
            </w:r>
          </w:p>
        </w:tc>
        <w:tc>
          <w:tcPr>
            <w:tcW w:w="2551" w:type="dxa"/>
            <w:shd w:val="clear" w:color="auto" w:fill="auto"/>
          </w:tcPr>
          <w:p w:rsidR="008B567A" w:rsidRPr="001E57EA" w:rsidRDefault="008B567A" w:rsidP="00921AC6">
            <w:pPr>
              <w:pStyle w:val="Default"/>
              <w:jc w:val="center"/>
              <w:rPr>
                <w:rFonts w:ascii="Arial" w:hAnsi="Arial" w:cs="Arial"/>
                <w:color w:val="auto"/>
                <w:sz w:val="16"/>
                <w:szCs w:val="16"/>
              </w:rPr>
            </w:pPr>
            <w:r w:rsidRPr="001E57EA">
              <w:rPr>
                <w:rFonts w:ascii="Arial" w:hAnsi="Arial" w:cs="Arial"/>
                <w:color w:val="auto"/>
                <w:sz w:val="16"/>
                <w:szCs w:val="16"/>
              </w:rPr>
              <w:t>14%</w:t>
            </w:r>
            <w:r w:rsidR="005653B9" w:rsidRPr="001E57EA">
              <w:rPr>
                <w:rFonts w:ascii="Arial" w:hAnsi="Arial" w:cs="Arial"/>
                <w:color w:val="auto"/>
                <w:sz w:val="16"/>
                <w:szCs w:val="16"/>
              </w:rPr>
              <w:t xml:space="preserve"> (2018)</w:t>
            </w:r>
          </w:p>
        </w:tc>
        <w:tc>
          <w:tcPr>
            <w:tcW w:w="1508" w:type="dxa"/>
            <w:shd w:val="clear" w:color="auto" w:fill="auto"/>
          </w:tcPr>
          <w:p w:rsidR="008B567A" w:rsidRPr="001E57EA" w:rsidRDefault="008C0004" w:rsidP="008B567A">
            <w:pPr>
              <w:pStyle w:val="Default"/>
              <w:rPr>
                <w:rFonts w:ascii="Arial" w:hAnsi="Arial" w:cs="Arial"/>
                <w:color w:val="auto"/>
                <w:sz w:val="16"/>
                <w:szCs w:val="16"/>
              </w:rPr>
            </w:pPr>
            <w:r w:rsidRPr="001E57EA">
              <w:rPr>
                <w:rFonts w:ascii="Arial" w:hAnsi="Arial" w:cs="Arial"/>
                <w:color w:val="auto"/>
                <w:sz w:val="16"/>
                <w:szCs w:val="16"/>
              </w:rPr>
              <w:t>7</w:t>
            </w:r>
            <w:r w:rsidR="008B567A" w:rsidRPr="001E57EA">
              <w:rPr>
                <w:rFonts w:ascii="Arial" w:hAnsi="Arial" w:cs="Arial"/>
                <w:color w:val="auto"/>
                <w:sz w:val="16"/>
                <w:szCs w:val="16"/>
              </w:rPr>
              <w:t>0%</w:t>
            </w:r>
            <w:r w:rsidR="005653B9" w:rsidRPr="001E57EA">
              <w:rPr>
                <w:rFonts w:ascii="Arial" w:hAnsi="Arial" w:cs="Arial"/>
                <w:color w:val="auto"/>
                <w:sz w:val="16"/>
                <w:szCs w:val="16"/>
              </w:rPr>
              <w:t xml:space="preserve"> (2027)</w:t>
            </w:r>
          </w:p>
        </w:tc>
      </w:tr>
      <w:tr w:rsidR="001E57EA" w:rsidRPr="001E57EA" w:rsidTr="00805D8D">
        <w:tc>
          <w:tcPr>
            <w:tcW w:w="3681"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xml:space="preserve">% medijskih objava u kojima je otkriven identitet žrtve </w:t>
            </w:r>
          </w:p>
        </w:tc>
        <w:tc>
          <w:tcPr>
            <w:tcW w:w="1276"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Istraživanje UNWOMEN</w:t>
            </w:r>
          </w:p>
        </w:tc>
        <w:tc>
          <w:tcPr>
            <w:tcW w:w="2551" w:type="dxa"/>
            <w:shd w:val="clear" w:color="auto" w:fill="auto"/>
          </w:tcPr>
          <w:p w:rsidR="008B567A" w:rsidRPr="001E57EA" w:rsidRDefault="008B567A" w:rsidP="00921AC6">
            <w:pPr>
              <w:pStyle w:val="Default"/>
              <w:jc w:val="center"/>
              <w:rPr>
                <w:rFonts w:ascii="Arial" w:hAnsi="Arial" w:cs="Arial"/>
                <w:color w:val="auto"/>
                <w:sz w:val="16"/>
                <w:szCs w:val="16"/>
              </w:rPr>
            </w:pPr>
            <w:r w:rsidRPr="001E57EA">
              <w:rPr>
                <w:rFonts w:ascii="Arial" w:hAnsi="Arial" w:cs="Arial"/>
                <w:color w:val="auto"/>
                <w:sz w:val="16"/>
                <w:szCs w:val="16"/>
              </w:rPr>
              <w:t>36%</w:t>
            </w:r>
            <w:r w:rsidR="005653B9" w:rsidRPr="001E57EA">
              <w:rPr>
                <w:rFonts w:ascii="Arial" w:hAnsi="Arial" w:cs="Arial"/>
                <w:color w:val="auto"/>
                <w:sz w:val="16"/>
                <w:szCs w:val="16"/>
              </w:rPr>
              <w:t xml:space="preserve"> (2018)</w:t>
            </w:r>
          </w:p>
        </w:tc>
        <w:tc>
          <w:tcPr>
            <w:tcW w:w="1508" w:type="dxa"/>
            <w:shd w:val="clear" w:color="auto" w:fill="auto"/>
          </w:tcPr>
          <w:p w:rsidR="008B567A" w:rsidRPr="001E57EA" w:rsidRDefault="008B567A" w:rsidP="005653B9">
            <w:pPr>
              <w:pStyle w:val="Default"/>
              <w:rPr>
                <w:rFonts w:ascii="Arial" w:hAnsi="Arial" w:cs="Arial"/>
                <w:color w:val="auto"/>
                <w:sz w:val="16"/>
                <w:szCs w:val="16"/>
              </w:rPr>
            </w:pPr>
            <w:r w:rsidRPr="001E57EA">
              <w:rPr>
                <w:rFonts w:ascii="Arial" w:hAnsi="Arial" w:cs="Arial"/>
                <w:color w:val="auto"/>
                <w:sz w:val="16"/>
                <w:szCs w:val="16"/>
              </w:rPr>
              <w:t>5%</w:t>
            </w:r>
            <w:r w:rsidR="005653B9" w:rsidRPr="001E57EA">
              <w:rPr>
                <w:rFonts w:ascii="Arial" w:hAnsi="Arial" w:cs="Arial"/>
                <w:color w:val="auto"/>
                <w:sz w:val="16"/>
                <w:szCs w:val="16"/>
              </w:rPr>
              <w:t xml:space="preserve"> (2027)</w:t>
            </w:r>
          </w:p>
        </w:tc>
      </w:tr>
      <w:tr w:rsidR="001E57EA" w:rsidRPr="001E57EA" w:rsidTr="00805D8D">
        <w:tc>
          <w:tcPr>
            <w:tcW w:w="3681" w:type="dxa"/>
            <w:shd w:val="clear" w:color="auto" w:fill="auto"/>
          </w:tcPr>
          <w:p w:rsidR="0001513C" w:rsidRPr="001E57EA" w:rsidRDefault="0001513C" w:rsidP="008B567A">
            <w:pPr>
              <w:pStyle w:val="Default"/>
              <w:rPr>
                <w:rFonts w:ascii="Arial" w:hAnsi="Arial" w:cs="Arial"/>
                <w:color w:val="auto"/>
                <w:sz w:val="16"/>
                <w:szCs w:val="16"/>
              </w:rPr>
            </w:pPr>
            <w:r w:rsidRPr="001E57EA">
              <w:rPr>
                <w:rFonts w:ascii="Arial" w:hAnsi="Arial" w:cs="Arial"/>
                <w:color w:val="auto"/>
                <w:sz w:val="16"/>
                <w:szCs w:val="16"/>
              </w:rPr>
              <w:t>% profesionalaca koji su završili stručne obuke za postupanje u slučajevima nasilja u porodici</w:t>
            </w:r>
          </w:p>
        </w:tc>
        <w:tc>
          <w:tcPr>
            <w:tcW w:w="1276" w:type="dxa"/>
            <w:shd w:val="clear" w:color="auto" w:fill="auto"/>
          </w:tcPr>
          <w:p w:rsidR="0001513C" w:rsidRPr="001E57EA" w:rsidRDefault="00D25CD6" w:rsidP="008B567A">
            <w:pPr>
              <w:pStyle w:val="Default"/>
              <w:rPr>
                <w:rFonts w:ascii="Arial" w:hAnsi="Arial" w:cs="Arial"/>
                <w:color w:val="auto"/>
                <w:sz w:val="16"/>
                <w:szCs w:val="16"/>
              </w:rPr>
            </w:pPr>
            <w:r w:rsidRPr="001E57EA">
              <w:rPr>
                <w:rFonts w:ascii="Arial" w:hAnsi="Arial" w:cs="Arial"/>
                <w:color w:val="auto"/>
                <w:sz w:val="16"/>
                <w:szCs w:val="16"/>
              </w:rPr>
              <w:t>FMZ, FMUP, FMRSP i CEST</w:t>
            </w:r>
          </w:p>
        </w:tc>
        <w:tc>
          <w:tcPr>
            <w:tcW w:w="2551" w:type="dxa"/>
            <w:shd w:val="clear" w:color="auto" w:fill="auto"/>
          </w:tcPr>
          <w:p w:rsidR="00E14C3E" w:rsidRPr="001E57EA" w:rsidRDefault="00E14C3E" w:rsidP="00921AC6">
            <w:pPr>
              <w:pStyle w:val="Default"/>
              <w:jc w:val="center"/>
              <w:rPr>
                <w:rFonts w:ascii="Arial" w:hAnsi="Arial" w:cs="Arial"/>
                <w:color w:val="auto"/>
                <w:sz w:val="16"/>
                <w:szCs w:val="16"/>
                <w:highlight w:val="yellow"/>
              </w:rPr>
            </w:pPr>
            <w:r w:rsidRPr="001E57EA">
              <w:rPr>
                <w:rFonts w:ascii="Arial" w:hAnsi="Arial" w:cs="Arial"/>
                <w:color w:val="auto"/>
                <w:sz w:val="16"/>
                <w:szCs w:val="16"/>
              </w:rPr>
              <w:t>FMZ 35% (2019)</w:t>
            </w:r>
          </w:p>
          <w:p w:rsidR="0001513C" w:rsidRPr="001E57EA" w:rsidRDefault="00302A40" w:rsidP="00921AC6">
            <w:pPr>
              <w:pStyle w:val="Default"/>
              <w:jc w:val="center"/>
              <w:rPr>
                <w:rFonts w:ascii="Arial" w:hAnsi="Arial" w:cs="Arial"/>
                <w:color w:val="auto"/>
                <w:sz w:val="16"/>
                <w:szCs w:val="16"/>
              </w:rPr>
            </w:pPr>
            <w:r w:rsidRPr="001E57EA">
              <w:rPr>
                <w:rFonts w:ascii="Arial" w:hAnsi="Arial" w:cs="Arial"/>
                <w:color w:val="auto"/>
                <w:sz w:val="16"/>
                <w:szCs w:val="16"/>
              </w:rPr>
              <w:t>FMUP, FMRSP i CEST nema podataka o početnom stanju</w:t>
            </w:r>
          </w:p>
        </w:tc>
        <w:tc>
          <w:tcPr>
            <w:tcW w:w="1508" w:type="dxa"/>
            <w:shd w:val="clear" w:color="auto" w:fill="auto"/>
          </w:tcPr>
          <w:p w:rsidR="0001513C" w:rsidRPr="001E57EA" w:rsidRDefault="00D25CD6" w:rsidP="005653B9">
            <w:pPr>
              <w:pStyle w:val="Default"/>
              <w:rPr>
                <w:rFonts w:ascii="Arial" w:hAnsi="Arial" w:cs="Arial"/>
                <w:color w:val="auto"/>
                <w:sz w:val="16"/>
                <w:szCs w:val="16"/>
              </w:rPr>
            </w:pPr>
            <w:r w:rsidRPr="001E57EA">
              <w:rPr>
                <w:rFonts w:ascii="Arial" w:hAnsi="Arial" w:cs="Arial"/>
                <w:color w:val="auto"/>
                <w:sz w:val="16"/>
                <w:szCs w:val="16"/>
              </w:rPr>
              <w:t>70% (2027)</w:t>
            </w:r>
          </w:p>
        </w:tc>
      </w:tr>
    </w:tbl>
    <w:p w:rsidR="0092028C" w:rsidRPr="001E57EA" w:rsidRDefault="0092028C" w:rsidP="000A55A4">
      <w:pPr>
        <w:pStyle w:val="3naslov"/>
        <w:rPr>
          <w:rFonts w:cs="Arial"/>
          <w:lang w:val="bs-Latn-BA"/>
        </w:rPr>
      </w:pPr>
      <w:bookmarkStart w:id="24" w:name="_Toc145323820"/>
      <w:r w:rsidRPr="001E57EA">
        <w:rPr>
          <w:rFonts w:cs="Arial"/>
          <w:lang w:val="bs-Latn-BA"/>
        </w:rPr>
        <w:t xml:space="preserve">Mjera: </w:t>
      </w:r>
      <w:r w:rsidR="007B22EB" w:rsidRPr="001E57EA">
        <w:rPr>
          <w:rFonts w:cs="Arial"/>
          <w:lang w:val="bs-Latn-BA"/>
        </w:rPr>
        <w:t>R</w:t>
      </w:r>
      <w:r w:rsidR="000C5753" w:rsidRPr="001E57EA">
        <w:rPr>
          <w:rFonts w:cs="Arial"/>
          <w:lang w:val="bs-Latn-BA"/>
        </w:rPr>
        <w:t>azvijati mehanizme ranog prepoznavanja nasilja i otklanjanja</w:t>
      </w:r>
      <w:r w:rsidRPr="001E57EA">
        <w:rPr>
          <w:rFonts w:cs="Arial"/>
          <w:lang w:val="bs-Latn-BA"/>
        </w:rPr>
        <w:t xml:space="preserve"> faktora rizika za nasilje u porodici</w:t>
      </w:r>
      <w:bookmarkEnd w:id="24"/>
    </w:p>
    <w:p w:rsidR="00E9797D" w:rsidRPr="001E57EA" w:rsidRDefault="0092028C" w:rsidP="00BF3ED5">
      <w:pPr>
        <w:pStyle w:val="TekstStrategija"/>
      </w:pPr>
      <w:r w:rsidRPr="001E57EA">
        <w:t>Ranom detekcijom i eliminacijom faktora rizika moguće je pravovremeno djelovati kako do nasilnog ponašanja, a posebno dugogodišnjeg nasilja u porodici</w:t>
      </w:r>
      <w:r w:rsidR="007B4EB1" w:rsidRPr="001E57EA">
        <w:t>,</w:t>
      </w:r>
      <w:r w:rsidRPr="001E57EA">
        <w:t xml:space="preserve"> </w:t>
      </w:r>
      <w:r w:rsidR="007B4EB1" w:rsidRPr="001E57EA">
        <w:t xml:space="preserve">uopće </w:t>
      </w:r>
      <w:r w:rsidRPr="001E57EA">
        <w:t xml:space="preserve">ne bi ni dolazilo. </w:t>
      </w:r>
      <w:r w:rsidR="00A661E6" w:rsidRPr="001E57EA">
        <w:t>Ovo obuhvata o</w:t>
      </w:r>
      <w:r w:rsidRPr="001E57EA">
        <w:t xml:space="preserve">sporavanje rodnih stereotipa putem </w:t>
      </w:r>
      <w:r w:rsidR="007B4EB1" w:rsidRPr="001E57EA">
        <w:t xml:space="preserve">promoviranja </w:t>
      </w:r>
      <w:r w:rsidRPr="001E57EA">
        <w:t>promjena u socijalnim i kulturnim obrascima ponašanja žena i muškaraca, kroz unapređenje nastavnih planova i programa putem nestereotipnih sadržaja i promotivne medijske kampanje. Ranom detekcijom nasilja u djetinjstvu i slučajeva u kojima su djeca bili svjedoci nasilja, te aktivnim radom sa tom djecom prevenira se nasilno ponašanje u odraslom dobu. Bolesti ovisnosti predstavljaju značajan faktor rizika za nasilje u porodici. Posebno bolesti ovisnosti od alkohola i drugih supstanci koje izazivaju ovisnosti,</w:t>
      </w:r>
      <w:r w:rsidR="000F3A31" w:rsidRPr="001E57EA">
        <w:t xml:space="preserve"> igre na sreću</w:t>
      </w:r>
      <w:r w:rsidR="006C1E70" w:rsidRPr="001E57EA">
        <w:t xml:space="preserve"> i sl.</w:t>
      </w:r>
      <w:r w:rsidR="000F3A31" w:rsidRPr="001E57EA">
        <w:t>,</w:t>
      </w:r>
      <w:r w:rsidRPr="001E57EA">
        <w:t xml:space="preserve"> osim što su faktori rizika, onemogućavaju bilo kakav drugi rad sa počiniocima nasilja u porodici, kao što je to psihosocija</w:t>
      </w:r>
      <w:r w:rsidR="00B16872" w:rsidRPr="001E57EA">
        <w:t>l</w:t>
      </w:r>
      <w:r w:rsidRPr="001E57EA">
        <w:t xml:space="preserve">ni tretman i sl. čime se dugoročno mijenjaju obrasci ponašanja i umanjuje mogućnost recidiva. </w:t>
      </w:r>
      <w:r w:rsidR="007B4EB1" w:rsidRPr="001E57EA">
        <w:t>U vezi s tim</w:t>
      </w:r>
      <w:r w:rsidRPr="001E57EA">
        <w:t xml:space="preserve">, važno je </w:t>
      </w:r>
      <w:r w:rsidR="00E7092B" w:rsidRPr="001E57EA">
        <w:t xml:space="preserve">ukazivati na </w:t>
      </w:r>
      <w:r w:rsidRPr="001E57EA">
        <w:t xml:space="preserve">posljedice bolesti ovisnosti, ali i </w:t>
      </w:r>
      <w:r w:rsidR="007B4EB1" w:rsidRPr="001E57EA">
        <w:t xml:space="preserve">promovirati </w:t>
      </w:r>
      <w:r w:rsidRPr="001E57EA">
        <w:t>važnost izricanja i provedbe zaštitnih mjera liječenja bolesti ovisnos</w:t>
      </w:r>
      <w:r w:rsidR="00380DE3" w:rsidRPr="001E57EA">
        <w:t>t</w:t>
      </w:r>
      <w:r w:rsidRPr="001E57EA">
        <w:t>i. Kako bi se umanj</w:t>
      </w:r>
      <w:r w:rsidR="00B16872" w:rsidRPr="001E57EA">
        <w:t>i</w:t>
      </w:r>
      <w:r w:rsidRPr="001E57EA">
        <w:t>la ekonomska ovisnost žena, potrebno je raditi i na osnaživanju žena</w:t>
      </w:r>
      <w:r w:rsidR="007B4EB1" w:rsidRPr="001E57EA">
        <w:t xml:space="preserve"> i to uspostavljanjem različitih programa osnaživanja, </w:t>
      </w:r>
      <w:r w:rsidRPr="001E57EA">
        <w:t>rješavanje</w:t>
      </w:r>
      <w:r w:rsidR="007B4EB1" w:rsidRPr="001E57EA">
        <w:t>m</w:t>
      </w:r>
      <w:r w:rsidRPr="001E57EA">
        <w:t xml:space="preserve"> konkretnih potreba građana sa stajališta ljudskih prava, </w:t>
      </w:r>
      <w:r w:rsidR="007B4EB1" w:rsidRPr="001E57EA">
        <w:t xml:space="preserve">promocijom </w:t>
      </w:r>
      <w:r w:rsidRPr="001E57EA">
        <w:t xml:space="preserve">važnosti obrazovanja i </w:t>
      </w:r>
      <w:r w:rsidR="007B4EB1" w:rsidRPr="001E57EA">
        <w:t xml:space="preserve">korištenjem </w:t>
      </w:r>
      <w:r w:rsidRPr="001E57EA">
        <w:t>obrazovnih prilika</w:t>
      </w:r>
      <w:r w:rsidR="007B4EB1" w:rsidRPr="001E57EA">
        <w:t>,</w:t>
      </w:r>
      <w:r w:rsidRPr="001E57EA">
        <w:t xml:space="preserve"> </w:t>
      </w:r>
      <w:r w:rsidR="00064FB0" w:rsidRPr="001E57EA">
        <w:t>eliminiranjem</w:t>
      </w:r>
      <w:r w:rsidR="007B4EB1" w:rsidRPr="001E57EA">
        <w:t xml:space="preserve"> </w:t>
      </w:r>
      <w:r w:rsidR="00BA29EF" w:rsidRPr="001E57EA">
        <w:t xml:space="preserve">rodnih stereotipa iz nastavnih planova i programa, udžbenika i drugih nastavnih materijala </w:t>
      </w:r>
      <w:r w:rsidRPr="001E57EA">
        <w:t>i sl.</w:t>
      </w:r>
      <w:r w:rsidR="00A661E6" w:rsidRPr="001E57EA">
        <w:t xml:space="preserve"> </w:t>
      </w:r>
    </w:p>
    <w:p w:rsidR="00987169" w:rsidRPr="001E57EA" w:rsidRDefault="00987169" w:rsidP="00BF3ED5">
      <w:pPr>
        <w:pStyle w:val="TekstStrategija"/>
      </w:pPr>
    </w:p>
    <w:p w:rsidR="0009144E" w:rsidRPr="001E57EA" w:rsidRDefault="0009144E"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6"/>
        <w:gridCol w:w="1562"/>
        <w:gridCol w:w="1508"/>
      </w:tblGrid>
      <w:tr w:rsidR="001E57EA" w:rsidRPr="001E57EA" w:rsidTr="00921AC6">
        <w:tc>
          <w:tcPr>
            <w:tcW w:w="4390" w:type="dxa"/>
            <w:shd w:val="clear" w:color="auto" w:fill="auto"/>
          </w:tcPr>
          <w:p w:rsidR="008B567A" w:rsidRPr="001E57EA" w:rsidRDefault="008B567A" w:rsidP="00921AC6">
            <w:pPr>
              <w:pStyle w:val="TekstStrategija"/>
              <w:spacing w:line="240" w:lineRule="auto"/>
              <w:rPr>
                <w:sz w:val="16"/>
              </w:rPr>
            </w:pPr>
            <w:r w:rsidRPr="001E57EA">
              <w:rPr>
                <w:sz w:val="16"/>
              </w:rPr>
              <w:t>Indikator na nivou mjere</w:t>
            </w:r>
          </w:p>
        </w:tc>
        <w:tc>
          <w:tcPr>
            <w:tcW w:w="1556" w:type="dxa"/>
            <w:shd w:val="clear" w:color="auto" w:fill="auto"/>
          </w:tcPr>
          <w:p w:rsidR="008B567A" w:rsidRPr="001E57EA" w:rsidRDefault="008B567A" w:rsidP="00921AC6">
            <w:pPr>
              <w:pStyle w:val="TekstStrategija"/>
              <w:spacing w:line="240" w:lineRule="auto"/>
              <w:rPr>
                <w:sz w:val="16"/>
              </w:rPr>
            </w:pPr>
            <w:r w:rsidRPr="001E57EA">
              <w:rPr>
                <w:sz w:val="16"/>
              </w:rPr>
              <w:t>Izvor</w:t>
            </w:r>
          </w:p>
        </w:tc>
        <w:tc>
          <w:tcPr>
            <w:tcW w:w="1562" w:type="dxa"/>
            <w:shd w:val="clear" w:color="auto" w:fill="auto"/>
          </w:tcPr>
          <w:p w:rsidR="008B567A" w:rsidRPr="001E57EA" w:rsidRDefault="008B567A" w:rsidP="00921AC6">
            <w:pPr>
              <w:pStyle w:val="TekstStrategija"/>
              <w:spacing w:line="240" w:lineRule="auto"/>
              <w:rPr>
                <w:sz w:val="16"/>
              </w:rPr>
            </w:pPr>
            <w:r w:rsidRPr="001E57EA">
              <w:rPr>
                <w:sz w:val="16"/>
              </w:rPr>
              <w:t>Polazna vrijednost</w:t>
            </w:r>
          </w:p>
        </w:tc>
        <w:tc>
          <w:tcPr>
            <w:tcW w:w="1508" w:type="dxa"/>
            <w:shd w:val="clear" w:color="auto" w:fill="auto"/>
          </w:tcPr>
          <w:p w:rsidR="008B567A" w:rsidRPr="001E57EA" w:rsidRDefault="008B567A" w:rsidP="00921AC6">
            <w:pPr>
              <w:pStyle w:val="TekstStrategija"/>
              <w:spacing w:line="240" w:lineRule="auto"/>
              <w:rPr>
                <w:sz w:val="16"/>
              </w:rPr>
            </w:pPr>
            <w:r w:rsidRPr="001E57EA">
              <w:rPr>
                <w:sz w:val="16"/>
              </w:rPr>
              <w:t>Ciljana vrijednost</w:t>
            </w:r>
          </w:p>
        </w:tc>
      </w:tr>
      <w:tr w:rsidR="001E57EA" w:rsidRPr="001E57EA" w:rsidTr="00921AC6">
        <w:tc>
          <w:tcPr>
            <w:tcW w:w="4390" w:type="dxa"/>
            <w:shd w:val="clear" w:color="auto" w:fill="auto"/>
          </w:tcPr>
          <w:p w:rsidR="008B567A" w:rsidRPr="001E57EA" w:rsidRDefault="008B567A" w:rsidP="00921AC6">
            <w:pPr>
              <w:pStyle w:val="TekstStrategija"/>
              <w:spacing w:line="240" w:lineRule="auto"/>
              <w:rPr>
                <w:sz w:val="16"/>
              </w:rPr>
            </w:pPr>
            <w:r w:rsidRPr="001E57EA">
              <w:rPr>
                <w:sz w:val="16"/>
              </w:rPr>
              <w:t>% žena žrtava nasilja korisnica programa ekonomskog osnaživanja žena</w:t>
            </w:r>
          </w:p>
        </w:tc>
        <w:tc>
          <w:tcPr>
            <w:tcW w:w="1556" w:type="dxa"/>
            <w:shd w:val="clear" w:color="auto" w:fill="auto"/>
          </w:tcPr>
          <w:p w:rsidR="008B567A" w:rsidRPr="001E57EA" w:rsidRDefault="005653B9" w:rsidP="00921AC6">
            <w:pPr>
              <w:pStyle w:val="TekstStrategija"/>
              <w:spacing w:line="240" w:lineRule="auto"/>
              <w:rPr>
                <w:sz w:val="16"/>
              </w:rPr>
            </w:pPr>
            <w:r w:rsidRPr="001E57EA">
              <w:rPr>
                <w:sz w:val="16"/>
              </w:rPr>
              <w:t>FZZ</w:t>
            </w:r>
            <w:r w:rsidR="000F3A31" w:rsidRPr="001E57EA">
              <w:rPr>
                <w:sz w:val="16"/>
              </w:rPr>
              <w:t>Z</w:t>
            </w:r>
          </w:p>
        </w:tc>
        <w:tc>
          <w:tcPr>
            <w:tcW w:w="1562" w:type="dxa"/>
            <w:shd w:val="clear" w:color="auto" w:fill="auto"/>
          </w:tcPr>
          <w:p w:rsidR="008B567A" w:rsidRPr="001E57EA" w:rsidRDefault="00065F23" w:rsidP="00921AC6">
            <w:pPr>
              <w:pStyle w:val="TekstStrategija"/>
              <w:spacing w:line="240" w:lineRule="auto"/>
              <w:rPr>
                <w:sz w:val="16"/>
              </w:rPr>
            </w:pPr>
            <w:r w:rsidRPr="001E57EA">
              <w:rPr>
                <w:sz w:val="16"/>
              </w:rPr>
              <w:t>nema podataka o početnom stanju</w:t>
            </w:r>
          </w:p>
        </w:tc>
        <w:tc>
          <w:tcPr>
            <w:tcW w:w="1508" w:type="dxa"/>
            <w:shd w:val="clear" w:color="auto" w:fill="auto"/>
          </w:tcPr>
          <w:p w:rsidR="008B567A" w:rsidRPr="001E57EA" w:rsidRDefault="006C51C4" w:rsidP="00921AC6">
            <w:pPr>
              <w:pStyle w:val="TekstStrategija"/>
              <w:spacing w:line="240" w:lineRule="auto"/>
              <w:rPr>
                <w:sz w:val="16"/>
              </w:rPr>
            </w:pPr>
            <w:r w:rsidRPr="001E57EA">
              <w:rPr>
                <w:sz w:val="16"/>
              </w:rPr>
              <w:t>10</w:t>
            </w:r>
            <w:r w:rsidR="00065F23" w:rsidRPr="001E57EA">
              <w:rPr>
                <w:sz w:val="16"/>
              </w:rPr>
              <w:t>% (2020)</w:t>
            </w:r>
          </w:p>
        </w:tc>
      </w:tr>
      <w:tr w:rsidR="001E57EA" w:rsidRPr="001E57EA" w:rsidTr="00921AC6">
        <w:tc>
          <w:tcPr>
            <w:tcW w:w="4390" w:type="dxa"/>
            <w:shd w:val="clear" w:color="auto" w:fill="auto"/>
          </w:tcPr>
          <w:p w:rsidR="008B567A" w:rsidRPr="001E57EA" w:rsidRDefault="008B567A" w:rsidP="00921AC6">
            <w:pPr>
              <w:pStyle w:val="TekstStrategija"/>
              <w:spacing w:line="240" w:lineRule="auto"/>
              <w:rPr>
                <w:sz w:val="16"/>
              </w:rPr>
            </w:pPr>
            <w:r w:rsidRPr="001E57EA">
              <w:rPr>
                <w:sz w:val="16"/>
              </w:rPr>
              <w:t>% poslodavaca koji su spremni na zapošljavanje žrtava nasilja</w:t>
            </w:r>
          </w:p>
        </w:tc>
        <w:tc>
          <w:tcPr>
            <w:tcW w:w="1556" w:type="dxa"/>
            <w:shd w:val="clear" w:color="auto" w:fill="auto"/>
          </w:tcPr>
          <w:p w:rsidR="008B567A" w:rsidRPr="001E57EA" w:rsidRDefault="008B567A" w:rsidP="00921AC6">
            <w:pPr>
              <w:pStyle w:val="TekstStrategija"/>
              <w:spacing w:line="240" w:lineRule="auto"/>
              <w:rPr>
                <w:sz w:val="16"/>
              </w:rPr>
            </w:pPr>
            <w:r w:rsidRPr="001E57EA">
              <w:rPr>
                <w:sz w:val="16"/>
              </w:rPr>
              <w:t>Istraživanje</w:t>
            </w:r>
          </w:p>
          <w:p w:rsidR="008B567A" w:rsidRPr="001E57EA" w:rsidRDefault="0045691C" w:rsidP="00921AC6">
            <w:pPr>
              <w:pStyle w:val="TekstStrategija"/>
              <w:spacing w:line="240" w:lineRule="auto"/>
              <w:rPr>
                <w:sz w:val="16"/>
              </w:rPr>
            </w:pPr>
            <w:r w:rsidRPr="001E57EA">
              <w:rPr>
                <w:sz w:val="16"/>
              </w:rPr>
              <w:t>FZZZ</w:t>
            </w:r>
          </w:p>
        </w:tc>
        <w:tc>
          <w:tcPr>
            <w:tcW w:w="1562" w:type="dxa"/>
            <w:shd w:val="clear" w:color="auto" w:fill="auto"/>
          </w:tcPr>
          <w:p w:rsidR="008B567A" w:rsidRPr="001E57EA" w:rsidRDefault="008B567A" w:rsidP="00921AC6">
            <w:pPr>
              <w:pStyle w:val="TekstStrategija"/>
              <w:spacing w:line="240" w:lineRule="auto"/>
              <w:rPr>
                <w:sz w:val="16"/>
              </w:rPr>
            </w:pPr>
            <w:r w:rsidRPr="001E57EA">
              <w:rPr>
                <w:sz w:val="16"/>
              </w:rPr>
              <w:t>18%</w:t>
            </w:r>
            <w:r w:rsidR="000F3A31" w:rsidRPr="001E57EA">
              <w:rPr>
                <w:sz w:val="16"/>
              </w:rPr>
              <w:t xml:space="preserve"> </w:t>
            </w:r>
            <w:r w:rsidR="00065F23" w:rsidRPr="001E57EA">
              <w:rPr>
                <w:sz w:val="16"/>
              </w:rPr>
              <w:t>(2018)</w:t>
            </w:r>
          </w:p>
        </w:tc>
        <w:tc>
          <w:tcPr>
            <w:tcW w:w="1508" w:type="dxa"/>
            <w:shd w:val="clear" w:color="auto" w:fill="auto"/>
          </w:tcPr>
          <w:p w:rsidR="008B567A" w:rsidRPr="001E57EA" w:rsidRDefault="008B567A" w:rsidP="00921AC6">
            <w:pPr>
              <w:pStyle w:val="TekstStrategija"/>
              <w:spacing w:line="240" w:lineRule="auto"/>
              <w:rPr>
                <w:sz w:val="16"/>
              </w:rPr>
            </w:pPr>
            <w:r w:rsidRPr="001E57EA">
              <w:rPr>
                <w:sz w:val="16"/>
              </w:rPr>
              <w:t>50%</w:t>
            </w:r>
            <w:r w:rsidR="00065F23" w:rsidRPr="001E57EA">
              <w:rPr>
                <w:sz w:val="16"/>
              </w:rPr>
              <w:t xml:space="preserve"> (2020)</w:t>
            </w:r>
          </w:p>
        </w:tc>
      </w:tr>
      <w:tr w:rsidR="001E57EA" w:rsidRPr="001E57EA" w:rsidTr="00921AC6">
        <w:tc>
          <w:tcPr>
            <w:tcW w:w="4390" w:type="dxa"/>
            <w:shd w:val="clear" w:color="auto" w:fill="auto"/>
          </w:tcPr>
          <w:p w:rsidR="008B567A" w:rsidRPr="001E57EA" w:rsidRDefault="008B567A" w:rsidP="00921AC6">
            <w:pPr>
              <w:pStyle w:val="TekstStrategija"/>
              <w:spacing w:line="240" w:lineRule="auto"/>
              <w:rPr>
                <w:sz w:val="16"/>
              </w:rPr>
            </w:pPr>
            <w:r w:rsidRPr="001E57EA">
              <w:rPr>
                <w:sz w:val="16"/>
              </w:rPr>
              <w:t xml:space="preserve">% djece koja su </w:t>
            </w:r>
            <w:r w:rsidR="00BF3ED5" w:rsidRPr="001E57EA">
              <w:rPr>
                <w:sz w:val="16"/>
              </w:rPr>
              <w:t xml:space="preserve">u predmetima nasilja u porodici </w:t>
            </w:r>
            <w:r w:rsidRPr="001E57EA">
              <w:rPr>
                <w:sz w:val="16"/>
              </w:rPr>
              <w:t>prepoznata kao žrtve nasilja kod prijavljenih slučajeva nasilja</w:t>
            </w:r>
          </w:p>
        </w:tc>
        <w:tc>
          <w:tcPr>
            <w:tcW w:w="1556" w:type="dxa"/>
            <w:shd w:val="clear" w:color="auto" w:fill="auto"/>
          </w:tcPr>
          <w:p w:rsidR="008B567A" w:rsidRPr="001E57EA" w:rsidRDefault="008B567A" w:rsidP="00921AC6">
            <w:pPr>
              <w:pStyle w:val="TekstStrategija"/>
              <w:spacing w:line="240" w:lineRule="auto"/>
              <w:rPr>
                <w:sz w:val="16"/>
              </w:rPr>
            </w:pPr>
            <w:r w:rsidRPr="001E57EA">
              <w:rPr>
                <w:sz w:val="16"/>
              </w:rPr>
              <w:t>VSTV</w:t>
            </w:r>
          </w:p>
        </w:tc>
        <w:tc>
          <w:tcPr>
            <w:tcW w:w="1562" w:type="dxa"/>
            <w:shd w:val="clear" w:color="auto" w:fill="auto"/>
          </w:tcPr>
          <w:p w:rsidR="008B567A" w:rsidRPr="001E57EA" w:rsidRDefault="00BF3ED5" w:rsidP="00921AC6">
            <w:pPr>
              <w:pStyle w:val="TekstStrategija"/>
              <w:spacing w:line="240" w:lineRule="auto"/>
              <w:rPr>
                <w:sz w:val="16"/>
              </w:rPr>
            </w:pPr>
            <w:r w:rsidRPr="001E57EA">
              <w:rPr>
                <w:sz w:val="16"/>
              </w:rPr>
              <w:t>4,6% (2020)</w:t>
            </w:r>
          </w:p>
        </w:tc>
        <w:tc>
          <w:tcPr>
            <w:tcW w:w="1508" w:type="dxa"/>
            <w:shd w:val="clear" w:color="auto" w:fill="auto"/>
          </w:tcPr>
          <w:p w:rsidR="008B567A" w:rsidRPr="001E57EA" w:rsidRDefault="00BF3ED5" w:rsidP="00921AC6">
            <w:pPr>
              <w:pStyle w:val="TekstStrategija"/>
              <w:spacing w:line="240" w:lineRule="auto"/>
              <w:rPr>
                <w:sz w:val="16"/>
              </w:rPr>
            </w:pPr>
            <w:r w:rsidRPr="001E57EA">
              <w:rPr>
                <w:sz w:val="16"/>
              </w:rPr>
              <w:t>20% (2020)</w:t>
            </w:r>
          </w:p>
        </w:tc>
      </w:tr>
    </w:tbl>
    <w:p w:rsidR="008B567A" w:rsidRPr="001E57EA" w:rsidRDefault="008B567A" w:rsidP="008B567A">
      <w:pPr>
        <w:pStyle w:val="3naslov"/>
        <w:rPr>
          <w:rFonts w:cs="Arial"/>
        </w:rPr>
      </w:pPr>
      <w:bookmarkStart w:id="25" w:name="_Toc145323821"/>
      <w:r w:rsidRPr="001E57EA">
        <w:rPr>
          <w:rFonts w:cs="Arial"/>
        </w:rPr>
        <w:lastRenderedPageBreak/>
        <w:t>Mjera: Unaprijediti proces praćenja primjene propisa i usklađivanja sa stvarnim potrebama</w:t>
      </w:r>
      <w:bookmarkEnd w:id="25"/>
    </w:p>
    <w:p w:rsidR="00FA4560" w:rsidRPr="001E57EA" w:rsidRDefault="006C1E70" w:rsidP="00BF3ED5">
      <w:pPr>
        <w:pStyle w:val="TekstStrategija"/>
      </w:pPr>
      <w:r w:rsidRPr="001E57EA">
        <w:t>Unapređenje procesa praćenja primjene propisa i usklađivanja sa stvarnim potrebama zahtijeva</w:t>
      </w:r>
      <w:r w:rsidR="00FA4560" w:rsidRPr="001E57EA">
        <w:t xml:space="preserve"> kontinuitet rada, multisektorsku saradnju, mehanizam planiranja, prove</w:t>
      </w:r>
      <w:r w:rsidRPr="001E57EA">
        <w:t xml:space="preserve">dbe aktivnosti i izvještavanja, kako bi se </w:t>
      </w:r>
      <w:r w:rsidR="005B3D01" w:rsidRPr="001E57EA">
        <w:t xml:space="preserve">osigurali </w:t>
      </w:r>
      <w:r w:rsidR="00FA4560" w:rsidRPr="001E57EA">
        <w:t>odgovarajuć</w:t>
      </w:r>
      <w:r w:rsidRPr="001E57EA">
        <w:t>i</w:t>
      </w:r>
      <w:r w:rsidR="00FA4560" w:rsidRPr="001E57EA">
        <w:t xml:space="preserve"> mehanizm</w:t>
      </w:r>
      <w:r w:rsidRPr="001E57EA">
        <w:t>i</w:t>
      </w:r>
      <w:r w:rsidR="00FA4560" w:rsidRPr="001E57EA">
        <w:t xml:space="preserve"> za djelotvornu saradnju </w:t>
      </w:r>
      <w:r w:rsidRPr="001E57EA">
        <w:t xml:space="preserve">na svim nivoima organizacije vlasti, </w:t>
      </w:r>
      <w:r w:rsidR="00FA4560" w:rsidRPr="001E57EA">
        <w:t>između sudova, tužilaštava, organa unutrašnjih poslova, lokalnih i regionalnih organa vlasti</w:t>
      </w:r>
      <w:r w:rsidRPr="001E57EA">
        <w:t>,</w:t>
      </w:r>
      <w:r w:rsidR="00FA4560" w:rsidRPr="001E57EA">
        <w:t xml:space="preserve"> nevladinih organizacija</w:t>
      </w:r>
      <w:r w:rsidRPr="001E57EA">
        <w:t xml:space="preserve"> i ostalih relevantnih aktera</w:t>
      </w:r>
      <w:r w:rsidR="00FA4560" w:rsidRPr="001E57EA">
        <w:t xml:space="preserve">. Također, potrebno je osigurati sistem kontinuirane podrške organizacijama civilnog društva, koje su zajedno sa državnim organima uključene u realizaciju strateških ciljeva. Osim navedenog, potrebno je osigurati fleksibilan sistem saradnje zakonodavaca, provodioca zakona i akademske zajednice, mehanizam evaluacije i implementacije naučenih praksi, kao i istraživanja, te unapređenja propisa u skladu sa iskustvima iz prakse. Praktična primjena propisa najbolje daje povratnu informaciju o kvalitetu i provodivosti pravnih dokumenata u praksi. </w:t>
      </w:r>
      <w:r w:rsidR="007B4EB1" w:rsidRPr="001E57EA">
        <w:t>U vezi s tim,</w:t>
      </w:r>
      <w:r w:rsidR="00FA4560" w:rsidRPr="001E57EA">
        <w:t xml:space="preserve"> potrebno je provoditi kontinuirano praćenje i evaluaciju primjene propisa i osigurati fleksibilno prilagođavanje stvarnim potrebama. Ovo se može </w:t>
      </w:r>
      <w:r w:rsidR="0009144E" w:rsidRPr="001E57EA">
        <w:t xml:space="preserve">realizirati </w:t>
      </w:r>
      <w:r w:rsidR="00FA4560" w:rsidRPr="001E57EA">
        <w:t>kroz izvještaje o provedbi zakona i podzakonskih akata, kao i kroz izvještaje o implementaciji strateških dokumenata. Implementacija zakonskih odredbi u oblasti koordinacije, planiranja i izvještavanja ovisi često o odgovornosti pojedinaca koji su spremni da preuzmu obavezu i teret djelovanja u ovoj oblasti</w:t>
      </w:r>
      <w:r w:rsidR="00143332" w:rsidRPr="001E57EA">
        <w:t>.</w:t>
      </w:r>
      <w:r w:rsidR="00FA4560" w:rsidRPr="001E57EA">
        <w:t xml:space="preserve"> S obzirom </w:t>
      </w:r>
      <w:r w:rsidR="007B4EB1" w:rsidRPr="001E57EA">
        <w:t xml:space="preserve">na to </w:t>
      </w:r>
      <w:r w:rsidR="00FA4560" w:rsidRPr="001E57EA">
        <w:t xml:space="preserve">da je rad koordinacionih tijela pretežno </w:t>
      </w:r>
      <w:r w:rsidR="0009144E" w:rsidRPr="001E57EA">
        <w:t xml:space="preserve">u vezi sa institucijama </w:t>
      </w:r>
      <w:r w:rsidR="00FA4560" w:rsidRPr="001E57EA">
        <w:t xml:space="preserve">i </w:t>
      </w:r>
      <w:r w:rsidR="0009144E" w:rsidRPr="001E57EA">
        <w:t xml:space="preserve">državnim službenicima </w:t>
      </w:r>
      <w:r w:rsidR="00FA4560" w:rsidRPr="001E57EA">
        <w:t xml:space="preserve">koji djeluju na nivou planiranja aktivnosti, a ne </w:t>
      </w:r>
      <w:r w:rsidR="0009144E" w:rsidRPr="001E57EA">
        <w:t xml:space="preserve">rade direktno </w:t>
      </w:r>
      <w:r w:rsidR="00FA4560" w:rsidRPr="001E57EA">
        <w:t>sa žrtvama i počiniocima nasilja u porodici, jačanje svijesti o problemu nasilja te primjen</w:t>
      </w:r>
      <w:r w:rsidR="00262157" w:rsidRPr="001E57EA">
        <w:t>a</w:t>
      </w:r>
      <w:r w:rsidR="00FA4560" w:rsidRPr="001E57EA">
        <w:t xml:space="preserve"> propisa u ovoj oblasti</w:t>
      </w:r>
      <w:r w:rsidR="00262157" w:rsidRPr="001E57EA">
        <w:t>,</w:t>
      </w:r>
      <w:r w:rsidR="00FA4560" w:rsidRPr="001E57EA">
        <w:t xml:space="preserve"> uveliko </w:t>
      </w:r>
      <w:r w:rsidR="0009144E" w:rsidRPr="001E57EA">
        <w:t xml:space="preserve">može </w:t>
      </w:r>
      <w:r w:rsidR="00E55440" w:rsidRPr="001E57EA">
        <w:t xml:space="preserve">doprinijeti </w:t>
      </w:r>
      <w:r w:rsidR="00FA4560" w:rsidRPr="001E57EA">
        <w:t>razvoju kvalitetnijeg mehanizma institucionalne podrške ustanovama i osobama koje direktno rade sa žrtvama i počiniocima nasilja u porodici.</w:t>
      </w:r>
    </w:p>
    <w:p w:rsidR="0045691C" w:rsidRPr="001E57EA" w:rsidRDefault="0045691C"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666"/>
        <w:gridCol w:w="1524"/>
        <w:gridCol w:w="1435"/>
      </w:tblGrid>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Indikator na nivou mjere</w:t>
            </w:r>
          </w:p>
        </w:tc>
        <w:tc>
          <w:tcPr>
            <w:tcW w:w="1666" w:type="dxa"/>
            <w:shd w:val="clear" w:color="auto" w:fill="auto"/>
          </w:tcPr>
          <w:p w:rsidR="008B567A" w:rsidRPr="001E57EA" w:rsidRDefault="008B567A" w:rsidP="00BF3ED5">
            <w:pPr>
              <w:pStyle w:val="TekstStrategija"/>
              <w:rPr>
                <w:sz w:val="16"/>
              </w:rPr>
            </w:pPr>
            <w:r w:rsidRPr="001E57EA">
              <w:rPr>
                <w:sz w:val="16"/>
              </w:rPr>
              <w:t>Izvor</w:t>
            </w:r>
          </w:p>
        </w:tc>
        <w:tc>
          <w:tcPr>
            <w:tcW w:w="0" w:type="auto"/>
            <w:shd w:val="clear" w:color="auto" w:fill="auto"/>
          </w:tcPr>
          <w:p w:rsidR="008B567A" w:rsidRPr="001E57EA" w:rsidRDefault="008B567A" w:rsidP="00BF3ED5">
            <w:pPr>
              <w:pStyle w:val="TekstStrategija"/>
              <w:rPr>
                <w:sz w:val="16"/>
              </w:rPr>
            </w:pPr>
            <w:r w:rsidRPr="001E57EA">
              <w:rPr>
                <w:sz w:val="16"/>
              </w:rPr>
              <w:t>Polazna vrijednost</w:t>
            </w:r>
          </w:p>
        </w:tc>
        <w:tc>
          <w:tcPr>
            <w:tcW w:w="0" w:type="auto"/>
            <w:shd w:val="clear" w:color="auto" w:fill="auto"/>
          </w:tcPr>
          <w:p w:rsidR="008B567A" w:rsidRPr="001E57EA" w:rsidRDefault="008B567A" w:rsidP="00BF3ED5">
            <w:pPr>
              <w:pStyle w:val="TekstStrategija"/>
              <w:rPr>
                <w:sz w:val="16"/>
              </w:rPr>
            </w:pPr>
            <w:r w:rsidRPr="001E57EA">
              <w:rPr>
                <w:sz w:val="16"/>
              </w:rPr>
              <w:t>Ciljana vrijednost</w:t>
            </w:r>
          </w:p>
        </w:tc>
      </w:tr>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Broj izvještaja o provedbi Zakona o zaštiti od nasilja u porodici prema Parlamentu Federacije BiH</w:t>
            </w:r>
          </w:p>
        </w:tc>
        <w:tc>
          <w:tcPr>
            <w:tcW w:w="1666" w:type="dxa"/>
            <w:shd w:val="clear" w:color="auto" w:fill="auto"/>
          </w:tcPr>
          <w:p w:rsidR="008B567A" w:rsidRPr="001E57EA" w:rsidRDefault="008B567A" w:rsidP="00BF3ED5">
            <w:pPr>
              <w:pStyle w:val="TekstStrategija"/>
              <w:rPr>
                <w:sz w:val="16"/>
              </w:rPr>
            </w:pPr>
            <w:r w:rsidRPr="001E57EA">
              <w:rPr>
                <w:sz w:val="16"/>
              </w:rPr>
              <w:t>Parlament FBiH, FMP</w:t>
            </w:r>
          </w:p>
        </w:tc>
        <w:tc>
          <w:tcPr>
            <w:tcW w:w="0" w:type="auto"/>
            <w:shd w:val="clear" w:color="auto" w:fill="auto"/>
          </w:tcPr>
          <w:p w:rsidR="008B567A" w:rsidRPr="001E57EA" w:rsidRDefault="008B567A" w:rsidP="00BF3ED5">
            <w:pPr>
              <w:pStyle w:val="TekstStrategija"/>
              <w:rPr>
                <w:sz w:val="16"/>
              </w:rPr>
            </w:pPr>
            <w:r w:rsidRPr="001E57EA">
              <w:rPr>
                <w:sz w:val="16"/>
              </w:rPr>
              <w:t>0</w:t>
            </w:r>
          </w:p>
        </w:tc>
        <w:tc>
          <w:tcPr>
            <w:tcW w:w="0" w:type="auto"/>
            <w:shd w:val="clear" w:color="auto" w:fill="auto"/>
          </w:tcPr>
          <w:p w:rsidR="008B567A" w:rsidRPr="001E57EA" w:rsidRDefault="008B567A" w:rsidP="00BF3ED5">
            <w:pPr>
              <w:pStyle w:val="TekstStrategija"/>
              <w:rPr>
                <w:sz w:val="16"/>
              </w:rPr>
            </w:pPr>
            <w:r w:rsidRPr="001E57EA">
              <w:rPr>
                <w:sz w:val="16"/>
              </w:rPr>
              <w:t>1 godišnje</w:t>
            </w:r>
          </w:p>
        </w:tc>
      </w:tr>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 izm</w:t>
            </w:r>
            <w:r w:rsidR="0009144E" w:rsidRPr="001E57EA">
              <w:rPr>
                <w:sz w:val="16"/>
              </w:rPr>
              <w:t>i</w:t>
            </w:r>
            <w:r w:rsidRPr="001E57EA">
              <w:rPr>
                <w:sz w:val="16"/>
              </w:rPr>
              <w:t>jenjenih propisa za koje su date preporuke</w:t>
            </w:r>
          </w:p>
        </w:tc>
        <w:tc>
          <w:tcPr>
            <w:tcW w:w="1666" w:type="dxa"/>
            <w:shd w:val="clear" w:color="auto" w:fill="auto"/>
          </w:tcPr>
          <w:p w:rsidR="008B567A" w:rsidRPr="001E57EA" w:rsidRDefault="008B567A" w:rsidP="00BF3ED5">
            <w:pPr>
              <w:pStyle w:val="TekstStrategija"/>
              <w:rPr>
                <w:sz w:val="16"/>
              </w:rPr>
            </w:pPr>
            <w:r w:rsidRPr="001E57EA">
              <w:rPr>
                <w:sz w:val="16"/>
              </w:rPr>
              <w:t>Izvještaj</w:t>
            </w:r>
          </w:p>
        </w:tc>
        <w:tc>
          <w:tcPr>
            <w:tcW w:w="0" w:type="auto"/>
            <w:shd w:val="clear" w:color="auto" w:fill="auto"/>
          </w:tcPr>
          <w:p w:rsidR="008B567A" w:rsidRPr="001E57EA" w:rsidRDefault="008B567A" w:rsidP="00BF3ED5">
            <w:pPr>
              <w:pStyle w:val="TekstStrategija"/>
              <w:rPr>
                <w:sz w:val="16"/>
              </w:rPr>
            </w:pPr>
            <w:r w:rsidRPr="001E57EA">
              <w:rPr>
                <w:sz w:val="16"/>
              </w:rPr>
              <w:t>Nema podataka</w:t>
            </w:r>
          </w:p>
        </w:tc>
        <w:tc>
          <w:tcPr>
            <w:tcW w:w="0" w:type="auto"/>
            <w:shd w:val="clear" w:color="auto" w:fill="auto"/>
          </w:tcPr>
          <w:p w:rsidR="008B567A" w:rsidRPr="001E57EA" w:rsidRDefault="008B567A" w:rsidP="00BF3ED5">
            <w:pPr>
              <w:pStyle w:val="TekstStrategija"/>
              <w:rPr>
                <w:sz w:val="16"/>
              </w:rPr>
            </w:pPr>
            <w:r w:rsidRPr="001E57EA">
              <w:rPr>
                <w:sz w:val="16"/>
              </w:rPr>
              <w:t>100%</w:t>
            </w:r>
          </w:p>
        </w:tc>
      </w:tr>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Broj godišnjih izvještaja/informacija koordinacionih tijela prema vladama</w:t>
            </w:r>
          </w:p>
        </w:tc>
        <w:tc>
          <w:tcPr>
            <w:tcW w:w="1666" w:type="dxa"/>
            <w:shd w:val="clear" w:color="auto" w:fill="auto"/>
          </w:tcPr>
          <w:p w:rsidR="008B567A" w:rsidRPr="001E57EA" w:rsidRDefault="008B567A" w:rsidP="00BF3ED5">
            <w:pPr>
              <w:pStyle w:val="TekstStrategija"/>
              <w:rPr>
                <w:sz w:val="16"/>
              </w:rPr>
            </w:pPr>
            <w:r w:rsidRPr="001E57EA">
              <w:rPr>
                <w:sz w:val="16"/>
              </w:rPr>
              <w:t>Vlade/koordinaciona tijela (11)</w:t>
            </w:r>
          </w:p>
        </w:tc>
        <w:tc>
          <w:tcPr>
            <w:tcW w:w="0" w:type="auto"/>
            <w:shd w:val="clear" w:color="auto" w:fill="auto"/>
          </w:tcPr>
          <w:p w:rsidR="008B567A" w:rsidRPr="001E57EA" w:rsidRDefault="008B567A" w:rsidP="00BF3ED5">
            <w:pPr>
              <w:pStyle w:val="TekstStrategija"/>
              <w:rPr>
                <w:sz w:val="16"/>
              </w:rPr>
            </w:pPr>
            <w:r w:rsidRPr="001E57EA">
              <w:rPr>
                <w:sz w:val="16"/>
              </w:rPr>
              <w:t>6</w:t>
            </w:r>
            <w:r w:rsidR="005653B9" w:rsidRPr="001E57EA">
              <w:rPr>
                <w:sz w:val="16"/>
              </w:rPr>
              <w:t xml:space="preserve"> (2020)</w:t>
            </w:r>
          </w:p>
        </w:tc>
        <w:tc>
          <w:tcPr>
            <w:tcW w:w="0" w:type="auto"/>
            <w:shd w:val="clear" w:color="auto" w:fill="auto"/>
          </w:tcPr>
          <w:p w:rsidR="008B567A" w:rsidRPr="001E57EA" w:rsidRDefault="008B567A" w:rsidP="00BF3ED5">
            <w:pPr>
              <w:pStyle w:val="TekstStrategija"/>
              <w:rPr>
                <w:sz w:val="16"/>
              </w:rPr>
            </w:pPr>
            <w:r w:rsidRPr="001E57EA">
              <w:rPr>
                <w:sz w:val="16"/>
              </w:rPr>
              <w:t>11 godišnje</w:t>
            </w:r>
          </w:p>
        </w:tc>
      </w:tr>
    </w:tbl>
    <w:p w:rsidR="002C41AE" w:rsidRPr="001E57EA" w:rsidRDefault="008B567A" w:rsidP="002C41AE">
      <w:pPr>
        <w:pStyle w:val="2naslov"/>
        <w:rPr>
          <w:rFonts w:cs="Arial"/>
        </w:rPr>
      </w:pPr>
      <w:bookmarkStart w:id="26" w:name="_Toc145323822"/>
      <w:r w:rsidRPr="001E57EA">
        <w:rPr>
          <w:rFonts w:cs="Arial"/>
        </w:rPr>
        <w:t>Prioritet</w:t>
      </w:r>
      <w:r w:rsidR="00102726" w:rsidRPr="001E57EA">
        <w:rPr>
          <w:rFonts w:cs="Arial"/>
        </w:rPr>
        <w:t xml:space="preserve"> 2: </w:t>
      </w:r>
      <w:r w:rsidR="00A661E6" w:rsidRPr="001E57EA">
        <w:rPr>
          <w:rFonts w:cs="Arial"/>
        </w:rPr>
        <w:t>Unaprijediti sistem s</w:t>
      </w:r>
      <w:r w:rsidR="00753FDE" w:rsidRPr="001E57EA">
        <w:rPr>
          <w:rFonts w:cs="Arial"/>
        </w:rPr>
        <w:t>veobuhvatn</w:t>
      </w:r>
      <w:r w:rsidR="00A661E6" w:rsidRPr="001E57EA">
        <w:rPr>
          <w:rFonts w:cs="Arial"/>
        </w:rPr>
        <w:t>e</w:t>
      </w:r>
      <w:r w:rsidR="00753FDE" w:rsidRPr="001E57EA">
        <w:rPr>
          <w:rFonts w:cs="Arial"/>
        </w:rPr>
        <w:t xml:space="preserve"> i </w:t>
      </w:r>
      <w:r w:rsidR="00A661E6" w:rsidRPr="001E57EA">
        <w:rPr>
          <w:rFonts w:cs="Arial"/>
        </w:rPr>
        <w:t xml:space="preserve">efikasne </w:t>
      </w:r>
      <w:r w:rsidR="00753FDE" w:rsidRPr="001E57EA">
        <w:rPr>
          <w:rFonts w:cs="Arial"/>
        </w:rPr>
        <w:t>zaštit</w:t>
      </w:r>
      <w:r w:rsidR="00A661E6" w:rsidRPr="001E57EA">
        <w:rPr>
          <w:rFonts w:cs="Arial"/>
        </w:rPr>
        <w:t>e</w:t>
      </w:r>
      <w:r w:rsidR="00753FDE" w:rsidRPr="001E57EA">
        <w:rPr>
          <w:rFonts w:cs="Arial"/>
        </w:rPr>
        <w:t xml:space="preserve"> žrtava nasilja u porodici</w:t>
      </w:r>
      <w:bookmarkEnd w:id="26"/>
    </w:p>
    <w:p w:rsidR="005653B9" w:rsidRPr="001E57EA" w:rsidRDefault="000D4EC3" w:rsidP="00BF3ED5">
      <w:pPr>
        <w:pStyle w:val="TekstStrategija"/>
      </w:pPr>
      <w:r w:rsidRPr="001E57EA">
        <w:t>Sistemska zaštita žrtava nasilja u porodici podrazumijeva sveo</w:t>
      </w:r>
      <w:r w:rsidR="00E22574" w:rsidRPr="001E57EA">
        <w:t xml:space="preserve">buhvatnu i dostupnu zaštitu žrtava u slučajevima prepoznatog ili prijavljenog nasilja u porodici. </w:t>
      </w:r>
      <w:r w:rsidR="00953E96" w:rsidRPr="001E57EA">
        <w:t xml:space="preserve">Zaštita obuhvata </w:t>
      </w:r>
      <w:r w:rsidR="00A33AEE" w:rsidRPr="001E57EA">
        <w:t>sigurnost</w:t>
      </w:r>
      <w:r w:rsidR="00953E96" w:rsidRPr="001E57EA">
        <w:t xml:space="preserve"> žrtve, odgovor na potrebe žrtava i svjedoka</w:t>
      </w:r>
      <w:r w:rsidR="00B44FE7" w:rsidRPr="001E57EA">
        <w:t>, te potpunu provedbu zaštitnih mjera usklađenu sa potrebama pojedinih slučajeva što uključuje sve mehanizme podrške</w:t>
      </w:r>
      <w:r w:rsidR="0070584F" w:rsidRPr="001E57EA">
        <w:t>, između ostalog,</w:t>
      </w:r>
      <w:r w:rsidR="008D5679" w:rsidRPr="001E57EA">
        <w:t xml:space="preserve"> </w:t>
      </w:r>
      <w:r w:rsidR="0070584F" w:rsidRPr="001E57EA">
        <w:t>pravnu, socijalnu, zdravstvenu, psihološku i stambenu podršku žrtvama nasilja</w:t>
      </w:r>
      <w:r w:rsidR="008D5679" w:rsidRPr="001E57EA">
        <w:t xml:space="preserve"> i najbolji interes djeteta</w:t>
      </w:r>
      <w:r w:rsidR="0070584F" w:rsidRPr="001E57EA">
        <w:t>.</w:t>
      </w:r>
      <w:r w:rsidR="008D5679" w:rsidRPr="001E57EA">
        <w:t xml:space="preserve"> </w:t>
      </w:r>
      <w:r w:rsidR="007B4EB1" w:rsidRPr="001E57EA">
        <w:t>U vezi s tim,</w:t>
      </w:r>
      <w:r w:rsidR="002221EB" w:rsidRPr="001E57EA">
        <w:t xml:space="preserve"> potrebno je osigurati jasan postupak</w:t>
      </w:r>
      <w:r w:rsidR="0070584F" w:rsidRPr="001E57EA">
        <w:t xml:space="preserve"> prijavljivanja i izricanja zaštitnih mjera</w:t>
      </w:r>
      <w:r w:rsidR="002221EB" w:rsidRPr="001E57EA">
        <w:t xml:space="preserve">, adekvatne obuke </w:t>
      </w:r>
      <w:r w:rsidR="002221EB" w:rsidRPr="001E57EA">
        <w:lastRenderedPageBreak/>
        <w:t xml:space="preserve">stručnjaka, jačanje kapaciteta, </w:t>
      </w:r>
      <w:r w:rsidR="007B4EB1" w:rsidRPr="001E57EA">
        <w:t xml:space="preserve">definiranje </w:t>
      </w:r>
      <w:r w:rsidR="002221EB" w:rsidRPr="001E57EA">
        <w:t>procedura, kao i mehanizme</w:t>
      </w:r>
      <w:r w:rsidR="008D5679" w:rsidRPr="001E57EA">
        <w:t xml:space="preserve"> rada sa počiniocima i žrtvama nasilja u porodici.</w:t>
      </w:r>
      <w:r w:rsidR="002221EB" w:rsidRPr="001E57EA">
        <w:t xml:space="preserve"> </w:t>
      </w:r>
    </w:p>
    <w:p w:rsidR="002C41AE" w:rsidRPr="001E57EA" w:rsidRDefault="002C41AE"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28"/>
        <w:gridCol w:w="1946"/>
        <w:gridCol w:w="1435"/>
      </w:tblGrid>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Indikator na nivou prioriteta 2: Unaprijediti sistem sveobuhvatne i efikasne zaštite žrtava nasilja u porodici</w:t>
            </w:r>
          </w:p>
        </w:tc>
        <w:tc>
          <w:tcPr>
            <w:tcW w:w="1228" w:type="dxa"/>
            <w:shd w:val="clear" w:color="auto" w:fill="auto"/>
          </w:tcPr>
          <w:p w:rsidR="008B567A" w:rsidRPr="001E57EA" w:rsidRDefault="008B567A" w:rsidP="00BF3ED5">
            <w:pPr>
              <w:pStyle w:val="TekstStrategija"/>
              <w:rPr>
                <w:sz w:val="16"/>
              </w:rPr>
            </w:pPr>
            <w:r w:rsidRPr="001E57EA">
              <w:rPr>
                <w:sz w:val="16"/>
              </w:rPr>
              <w:t>Izvor</w:t>
            </w:r>
          </w:p>
        </w:tc>
        <w:tc>
          <w:tcPr>
            <w:tcW w:w="1946" w:type="dxa"/>
            <w:shd w:val="clear" w:color="auto" w:fill="auto"/>
          </w:tcPr>
          <w:p w:rsidR="008B567A" w:rsidRPr="001E57EA" w:rsidRDefault="008B567A" w:rsidP="00BF3ED5">
            <w:pPr>
              <w:pStyle w:val="TekstStrategija"/>
              <w:rPr>
                <w:sz w:val="16"/>
              </w:rPr>
            </w:pPr>
            <w:r w:rsidRPr="001E57EA">
              <w:rPr>
                <w:sz w:val="16"/>
              </w:rPr>
              <w:t>Polazna vrijednost</w:t>
            </w:r>
          </w:p>
        </w:tc>
        <w:tc>
          <w:tcPr>
            <w:tcW w:w="0" w:type="auto"/>
            <w:shd w:val="clear" w:color="auto" w:fill="auto"/>
          </w:tcPr>
          <w:p w:rsidR="008B567A" w:rsidRPr="001E57EA" w:rsidRDefault="008B567A" w:rsidP="00BF3ED5">
            <w:pPr>
              <w:pStyle w:val="TekstStrategija"/>
              <w:rPr>
                <w:sz w:val="16"/>
              </w:rPr>
            </w:pPr>
            <w:r w:rsidRPr="001E57EA">
              <w:rPr>
                <w:sz w:val="16"/>
              </w:rPr>
              <w:t>Ciljana vrijednost</w:t>
            </w:r>
          </w:p>
        </w:tc>
      </w:tr>
      <w:tr w:rsidR="001E57EA" w:rsidRPr="001E57EA" w:rsidTr="00921AC6">
        <w:tc>
          <w:tcPr>
            <w:tcW w:w="4390" w:type="dxa"/>
            <w:shd w:val="clear" w:color="auto" w:fill="auto"/>
          </w:tcPr>
          <w:p w:rsidR="008B567A" w:rsidRPr="001E57EA" w:rsidRDefault="00596245" w:rsidP="008B567A">
            <w:pPr>
              <w:pStyle w:val="Default"/>
              <w:rPr>
                <w:rFonts w:ascii="Arial" w:hAnsi="Arial" w:cs="Arial"/>
                <w:color w:val="auto"/>
                <w:sz w:val="16"/>
                <w:szCs w:val="16"/>
              </w:rPr>
            </w:pPr>
            <w:r w:rsidRPr="001E57EA">
              <w:rPr>
                <w:rFonts w:ascii="Arial" w:hAnsi="Arial" w:cs="Arial"/>
                <w:color w:val="auto"/>
                <w:sz w:val="16"/>
                <w:szCs w:val="16"/>
              </w:rPr>
              <w:t>% žrtva nasilja koje su štićene zaštitnom mjerom</w:t>
            </w:r>
            <w:r w:rsidR="00A02E61" w:rsidRPr="001E57EA">
              <w:rPr>
                <w:rFonts w:ascii="Arial" w:hAnsi="Arial" w:cs="Arial"/>
                <w:color w:val="auto"/>
                <w:sz w:val="16"/>
                <w:szCs w:val="16"/>
              </w:rPr>
              <w:t xml:space="preserve"> u odnosu na broj prijava</w:t>
            </w:r>
          </w:p>
        </w:tc>
        <w:tc>
          <w:tcPr>
            <w:tcW w:w="1228" w:type="dxa"/>
            <w:shd w:val="clear" w:color="auto" w:fill="auto"/>
          </w:tcPr>
          <w:p w:rsidR="008B567A" w:rsidRPr="001E57EA" w:rsidRDefault="00596245" w:rsidP="008B567A">
            <w:pPr>
              <w:pStyle w:val="Default"/>
              <w:rPr>
                <w:rFonts w:ascii="Arial" w:hAnsi="Arial" w:cs="Arial"/>
                <w:color w:val="auto"/>
                <w:sz w:val="16"/>
                <w:szCs w:val="16"/>
              </w:rPr>
            </w:pPr>
            <w:r w:rsidRPr="001E57EA">
              <w:rPr>
                <w:rFonts w:ascii="Arial" w:hAnsi="Arial" w:cs="Arial"/>
                <w:color w:val="auto"/>
                <w:sz w:val="16"/>
                <w:szCs w:val="16"/>
              </w:rPr>
              <w:t>FMUP</w:t>
            </w:r>
          </w:p>
        </w:tc>
        <w:tc>
          <w:tcPr>
            <w:tcW w:w="1946" w:type="dxa"/>
            <w:shd w:val="clear" w:color="auto" w:fill="auto"/>
          </w:tcPr>
          <w:p w:rsidR="008B567A" w:rsidRPr="001E57EA" w:rsidRDefault="00A02E61" w:rsidP="008B567A">
            <w:pPr>
              <w:pStyle w:val="Default"/>
              <w:rPr>
                <w:rFonts w:ascii="Arial" w:hAnsi="Arial" w:cs="Arial"/>
                <w:color w:val="auto"/>
                <w:sz w:val="16"/>
                <w:szCs w:val="16"/>
              </w:rPr>
            </w:pPr>
            <w:r w:rsidRPr="001E57EA">
              <w:rPr>
                <w:rFonts w:ascii="Arial" w:hAnsi="Arial" w:cs="Arial"/>
                <w:color w:val="auto"/>
                <w:sz w:val="16"/>
                <w:szCs w:val="16"/>
              </w:rPr>
              <w:t>13,4% (2019)</w:t>
            </w:r>
          </w:p>
        </w:tc>
        <w:tc>
          <w:tcPr>
            <w:tcW w:w="0" w:type="auto"/>
            <w:shd w:val="clear" w:color="auto" w:fill="auto"/>
          </w:tcPr>
          <w:p w:rsidR="008B567A" w:rsidRPr="001E57EA" w:rsidRDefault="009F018A" w:rsidP="008B567A">
            <w:pPr>
              <w:pStyle w:val="Default"/>
              <w:rPr>
                <w:rFonts w:ascii="Arial" w:hAnsi="Arial" w:cs="Arial"/>
                <w:color w:val="auto"/>
                <w:sz w:val="16"/>
                <w:szCs w:val="16"/>
              </w:rPr>
            </w:pPr>
            <w:r w:rsidRPr="001E57EA">
              <w:rPr>
                <w:rFonts w:ascii="Arial" w:hAnsi="Arial" w:cs="Arial"/>
                <w:color w:val="auto"/>
                <w:sz w:val="16"/>
                <w:szCs w:val="16"/>
              </w:rPr>
              <w:t>10</w:t>
            </w:r>
            <w:r w:rsidR="00A02E61" w:rsidRPr="001E57EA">
              <w:rPr>
                <w:rFonts w:ascii="Arial" w:hAnsi="Arial" w:cs="Arial"/>
                <w:color w:val="auto"/>
                <w:sz w:val="16"/>
                <w:szCs w:val="16"/>
              </w:rPr>
              <w:t>0% (2027)</w:t>
            </w:r>
          </w:p>
        </w:tc>
      </w:tr>
    </w:tbl>
    <w:p w:rsidR="008B567A" w:rsidRPr="001E57EA" w:rsidRDefault="008B567A" w:rsidP="005653B9">
      <w:pPr>
        <w:pStyle w:val="3naslov"/>
        <w:rPr>
          <w:rFonts w:cs="Arial"/>
        </w:rPr>
      </w:pPr>
      <w:bookmarkStart w:id="27" w:name="_Toc145323823"/>
      <w:r w:rsidRPr="001E57EA">
        <w:rPr>
          <w:rFonts w:cs="Arial"/>
        </w:rPr>
        <w:t>Mjera: Unapređenje zaštite žrtava</w:t>
      </w:r>
      <w:r w:rsidR="00380DE3" w:rsidRPr="001E57EA">
        <w:rPr>
          <w:rFonts w:cs="Arial"/>
        </w:rPr>
        <w:t xml:space="preserve"> nasilja</w:t>
      </w:r>
      <w:bookmarkEnd w:id="27"/>
    </w:p>
    <w:p w:rsidR="002C41AE" w:rsidRPr="001E57EA" w:rsidRDefault="002C41AE" w:rsidP="00BF3ED5">
      <w:pPr>
        <w:pStyle w:val="TekstStrategija"/>
      </w:pPr>
    </w:p>
    <w:p w:rsidR="005C02D3" w:rsidRPr="001E57EA" w:rsidRDefault="004E63A0" w:rsidP="00BF3ED5">
      <w:pPr>
        <w:pStyle w:val="TekstStrategija"/>
      </w:pPr>
      <w:r w:rsidRPr="001E57EA">
        <w:t xml:space="preserve">Unapređenje zaštite žrtava </w:t>
      </w:r>
      <w:r w:rsidR="00380DE3" w:rsidRPr="001E57EA">
        <w:t xml:space="preserve">nasilja </w:t>
      </w:r>
      <w:r w:rsidRPr="001E57EA">
        <w:t>podrazumijeva</w:t>
      </w:r>
      <w:r w:rsidR="005653B9" w:rsidRPr="001E57EA">
        <w:t xml:space="preserve"> osiguranje prava i potreba </w:t>
      </w:r>
      <w:r w:rsidRPr="001E57EA">
        <w:t>žrtava nasilja</w:t>
      </w:r>
      <w:r w:rsidR="005653B9" w:rsidRPr="001E57EA">
        <w:t>, a posebno je važno da se u obzir uzme najbolji interes dje</w:t>
      </w:r>
      <w:r w:rsidRPr="001E57EA">
        <w:t>ce</w:t>
      </w:r>
      <w:r w:rsidR="005653B9" w:rsidRPr="001E57EA">
        <w:t xml:space="preserve">, te </w:t>
      </w:r>
      <w:r w:rsidRPr="001E57EA">
        <w:t>da se osigura</w:t>
      </w:r>
      <w:r w:rsidR="005653B9" w:rsidRPr="001E57EA">
        <w:t xml:space="preserve"> psihosocijaln</w:t>
      </w:r>
      <w:r w:rsidRPr="001E57EA">
        <w:t>a podrška</w:t>
      </w:r>
      <w:r w:rsidR="005653B9" w:rsidRPr="001E57EA">
        <w:t xml:space="preserve"> prilagođen</w:t>
      </w:r>
      <w:r w:rsidRPr="001E57EA">
        <w:t>a</w:t>
      </w:r>
      <w:r w:rsidR="005653B9" w:rsidRPr="001E57EA">
        <w:t xml:space="preserve"> životno</w:t>
      </w:r>
      <w:r w:rsidRPr="001E57EA">
        <w:t>j</w:t>
      </w:r>
      <w:r w:rsidR="005653B9" w:rsidRPr="001E57EA">
        <w:t xml:space="preserve"> dob</w:t>
      </w:r>
      <w:r w:rsidRPr="001E57EA">
        <w:t>i</w:t>
      </w:r>
      <w:r w:rsidR="005653B9" w:rsidRPr="001E57EA">
        <w:t xml:space="preserve">. Potrebno je raditi na osiguravanju odgovarajućih informacija o pravima žrtava, kao i dostupnim uslugama podrške. Zaštita porodica s djecom </w:t>
      </w:r>
      <w:r w:rsidR="007B4EB1" w:rsidRPr="001E57EA">
        <w:t xml:space="preserve">definira </w:t>
      </w:r>
      <w:r w:rsidR="005653B9" w:rsidRPr="001E57EA">
        <w:t xml:space="preserve">se kroz uvođenje žrtava nasilja u ostvarivanje prava na socijalnu pomoć, zdravstveno osiguranje, porodiljsku naknadu, dječiji dodatak po hitnom postupku i posebnim </w:t>
      </w:r>
      <w:r w:rsidR="00064FB0" w:rsidRPr="001E57EA">
        <w:t>uvjet</w:t>
      </w:r>
      <w:r w:rsidR="005653B9" w:rsidRPr="001E57EA">
        <w:t xml:space="preserve">ima. Putem pravne pomoći i podrške, psihosocijalnog i porodičnog savjetovanja potrebno je jačati integrirani pristup koji uzima u obzir odnos između žrtava, </w:t>
      </w:r>
      <w:r w:rsidR="00C570A8" w:rsidRPr="001E57EA">
        <w:t>počinilaca</w:t>
      </w:r>
      <w:r w:rsidR="005653B9" w:rsidRPr="001E57EA">
        <w:t xml:space="preserve">, djece i društvenog okruženja. </w:t>
      </w:r>
      <w:r w:rsidR="00AD1AC3" w:rsidRPr="001E57EA">
        <w:t>Neophodno je unapređenje različitih službi</w:t>
      </w:r>
      <w:r w:rsidR="00921AC6" w:rsidRPr="001E57EA">
        <w:t xml:space="preserve"> </w:t>
      </w:r>
      <w:r w:rsidR="00AD1AC3" w:rsidRPr="001E57EA">
        <w:t xml:space="preserve">za zaštitu i podršku žrtava nasilja, kako bi se odgovorilo na specifične </w:t>
      </w:r>
      <w:r w:rsidR="005653B9" w:rsidRPr="001E57EA">
        <w:t xml:space="preserve">potrebe </w:t>
      </w:r>
      <w:r w:rsidR="00AD1AC3" w:rsidRPr="001E57EA">
        <w:t>žrtava nasilja</w:t>
      </w:r>
      <w:r w:rsidR="005653B9" w:rsidRPr="001E57EA">
        <w:t>, uključujući i djecu žrtve nasilja</w:t>
      </w:r>
      <w:r w:rsidR="00AD1AC3" w:rsidRPr="001E57EA">
        <w:t xml:space="preserve">. </w:t>
      </w:r>
      <w:r w:rsidR="005653B9" w:rsidRPr="001E57EA">
        <w:t>Osiguranje usluga socijalne zaštite</w:t>
      </w:r>
      <w:r w:rsidR="00AD1AC3" w:rsidRPr="001E57EA">
        <w:t>,</w:t>
      </w:r>
      <w:r w:rsidR="005653B9" w:rsidRPr="001E57EA">
        <w:t xml:space="preserve"> pravno</w:t>
      </w:r>
      <w:r w:rsidR="00AD1AC3" w:rsidRPr="001E57EA">
        <w:t>g</w:t>
      </w:r>
      <w:r w:rsidR="005653B9" w:rsidRPr="001E57EA">
        <w:t xml:space="preserve"> i psihološko</w:t>
      </w:r>
      <w:r w:rsidR="00AD1AC3" w:rsidRPr="001E57EA">
        <w:t>g</w:t>
      </w:r>
      <w:r w:rsidR="005653B9" w:rsidRPr="001E57EA">
        <w:t xml:space="preserve"> savjetovanj</w:t>
      </w:r>
      <w:r w:rsidR="00AD1AC3" w:rsidRPr="001E57EA">
        <w:t>a</w:t>
      </w:r>
      <w:r w:rsidR="005653B9" w:rsidRPr="001E57EA">
        <w:t xml:space="preserve">, </w:t>
      </w:r>
      <w:r w:rsidR="00AD1AC3" w:rsidRPr="001E57EA">
        <w:t>materijalne</w:t>
      </w:r>
      <w:r w:rsidR="005653B9" w:rsidRPr="001E57EA">
        <w:t xml:space="preserve"> pomoć</w:t>
      </w:r>
      <w:r w:rsidR="00AD1AC3" w:rsidRPr="001E57EA">
        <w:t>i</w:t>
      </w:r>
      <w:r w:rsidR="005653B9" w:rsidRPr="001E57EA">
        <w:t>, te drugi</w:t>
      </w:r>
      <w:r w:rsidR="00AD1AC3" w:rsidRPr="001E57EA">
        <w:t>h</w:t>
      </w:r>
      <w:r w:rsidR="005653B9" w:rsidRPr="001E57EA">
        <w:t xml:space="preserve"> vidov</w:t>
      </w:r>
      <w:r w:rsidR="00AD1AC3" w:rsidRPr="001E57EA">
        <w:t>a</w:t>
      </w:r>
      <w:r w:rsidR="005653B9" w:rsidRPr="001E57EA">
        <w:t xml:space="preserve"> uslug</w:t>
      </w:r>
      <w:r w:rsidR="00AD1AC3" w:rsidRPr="001E57EA">
        <w:t>a</w:t>
      </w:r>
      <w:r w:rsidR="005653B9" w:rsidRPr="001E57EA">
        <w:t xml:space="preserve"> podrške za svaku žrtvu koja je bila izložena bilo kojoj vrsti nasilja</w:t>
      </w:r>
      <w:r w:rsidR="002C41AE" w:rsidRPr="001E57EA">
        <w:t>,</w:t>
      </w:r>
      <w:r w:rsidR="005653B9" w:rsidRPr="001E57EA">
        <w:t xml:space="preserve"> </w:t>
      </w:r>
      <w:r w:rsidR="002C41AE" w:rsidRPr="001E57EA">
        <w:t xml:space="preserve">omogućavaju </w:t>
      </w:r>
      <w:r w:rsidR="005653B9" w:rsidRPr="001E57EA">
        <w:t>oporavak žrtava nasilja.</w:t>
      </w:r>
      <w:r w:rsidR="00E9797D" w:rsidRPr="001E57EA">
        <w:t xml:space="preserve"> </w:t>
      </w:r>
      <w:r w:rsidR="005C02D3" w:rsidRPr="001E57EA">
        <w:t>Unapređenje zaštite žrtava podrazumijeva i sistemsku podršku mreži dostupnih sigurnih kuća u dovoljnom broju za siguran smještaj i pružanje pomoći žrtvama nasilja, posebno ženama i njihovoj djeci.</w:t>
      </w:r>
    </w:p>
    <w:p w:rsidR="005653B9" w:rsidRPr="001E57EA" w:rsidRDefault="00365E03" w:rsidP="00BF3ED5">
      <w:pPr>
        <w:pStyle w:val="TekstStrategija"/>
      </w:pPr>
      <w:r w:rsidRPr="001E57EA">
        <w:t>Briga za mentalno zdravlje i prevencija profesionalnog stresa trebala bi biti sistemski riješena, stoga je potrebno raditi na podizanju svijesti o potrebi uvođenja supervizije kao profesionalne podrške stručnjacima</w:t>
      </w:r>
      <w:r w:rsidR="002C41AE" w:rsidRPr="001E57EA">
        <w:t>,</w:t>
      </w:r>
      <w:r w:rsidRPr="001E57EA">
        <w:t xml:space="preserve"> </w:t>
      </w:r>
      <w:r w:rsidR="00380DE3" w:rsidRPr="001E57EA">
        <w:t>s ciljem unapređenja njihovog rada</w:t>
      </w:r>
      <w:r w:rsidRPr="001E57EA">
        <w:t xml:space="preserve">, očuvanja njihovog mentalnog zdravlja i zaštite od profesionalnog stresa i sagorijevanja, te osigurati </w:t>
      </w:r>
      <w:r w:rsidR="00064FB0" w:rsidRPr="001E57EA">
        <w:t>uvjet</w:t>
      </w:r>
      <w:r w:rsidRPr="001E57EA">
        <w:t xml:space="preserve">e za uvođenje obavezne supervizije i pravno </w:t>
      </w:r>
      <w:r w:rsidR="002C41AE" w:rsidRPr="001E57EA">
        <w:t xml:space="preserve">uređenje </w:t>
      </w:r>
      <w:r w:rsidRPr="001E57EA">
        <w:t>ove oblasti.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2196"/>
        <w:gridCol w:w="1544"/>
        <w:gridCol w:w="1452"/>
      </w:tblGrid>
      <w:tr w:rsidR="001E57EA" w:rsidRPr="001E57EA" w:rsidTr="00987169">
        <w:tc>
          <w:tcPr>
            <w:tcW w:w="2121" w:type="pct"/>
            <w:shd w:val="clear" w:color="auto" w:fill="auto"/>
          </w:tcPr>
          <w:p w:rsidR="00315078" w:rsidRPr="001E57EA" w:rsidRDefault="00315078" w:rsidP="00BF3ED5">
            <w:pPr>
              <w:pStyle w:val="TekstStrategija"/>
              <w:rPr>
                <w:sz w:val="16"/>
              </w:rPr>
            </w:pPr>
            <w:r w:rsidRPr="001E57EA">
              <w:rPr>
                <w:sz w:val="16"/>
              </w:rPr>
              <w:t>Indikator na nivou mjere</w:t>
            </w:r>
          </w:p>
        </w:tc>
        <w:tc>
          <w:tcPr>
            <w:tcW w:w="1218" w:type="pct"/>
            <w:shd w:val="clear" w:color="auto" w:fill="auto"/>
          </w:tcPr>
          <w:p w:rsidR="00315078" w:rsidRPr="001E57EA" w:rsidRDefault="00315078" w:rsidP="00BF3ED5">
            <w:pPr>
              <w:pStyle w:val="TekstStrategija"/>
              <w:rPr>
                <w:sz w:val="16"/>
              </w:rPr>
            </w:pPr>
            <w:r w:rsidRPr="001E57EA">
              <w:rPr>
                <w:sz w:val="16"/>
              </w:rPr>
              <w:t>Izvor</w:t>
            </w:r>
          </w:p>
        </w:tc>
        <w:tc>
          <w:tcPr>
            <w:tcW w:w="856" w:type="pct"/>
            <w:shd w:val="clear" w:color="auto" w:fill="auto"/>
          </w:tcPr>
          <w:p w:rsidR="00315078" w:rsidRPr="001E57EA" w:rsidRDefault="00315078" w:rsidP="00BF3ED5">
            <w:pPr>
              <w:pStyle w:val="TekstStrategija"/>
              <w:rPr>
                <w:sz w:val="16"/>
              </w:rPr>
            </w:pPr>
            <w:r w:rsidRPr="001E57EA">
              <w:rPr>
                <w:sz w:val="16"/>
              </w:rPr>
              <w:t>Polazna vrijednost</w:t>
            </w:r>
          </w:p>
        </w:tc>
        <w:tc>
          <w:tcPr>
            <w:tcW w:w="805" w:type="pct"/>
            <w:shd w:val="clear" w:color="auto" w:fill="auto"/>
          </w:tcPr>
          <w:p w:rsidR="00315078" w:rsidRPr="001E57EA" w:rsidRDefault="00315078" w:rsidP="00BF3ED5">
            <w:pPr>
              <w:pStyle w:val="TekstStrategija"/>
              <w:rPr>
                <w:sz w:val="16"/>
              </w:rPr>
            </w:pPr>
            <w:r w:rsidRPr="001E57EA">
              <w:rPr>
                <w:sz w:val="16"/>
              </w:rPr>
              <w:t>Ciljana vrijednost</w:t>
            </w:r>
          </w:p>
        </w:tc>
      </w:tr>
      <w:tr w:rsidR="001E57EA" w:rsidRPr="001E57EA" w:rsidTr="00987169">
        <w:tc>
          <w:tcPr>
            <w:tcW w:w="2121" w:type="pct"/>
            <w:shd w:val="clear" w:color="auto" w:fill="auto"/>
          </w:tcPr>
          <w:p w:rsidR="00315078" w:rsidRPr="001E57EA" w:rsidRDefault="00315078" w:rsidP="00BF3ED5">
            <w:pPr>
              <w:pStyle w:val="TekstStrategija"/>
              <w:rPr>
                <w:sz w:val="16"/>
              </w:rPr>
            </w:pPr>
            <w:r w:rsidRPr="001E57EA">
              <w:rPr>
                <w:sz w:val="16"/>
              </w:rPr>
              <w:t>% djece koja su prepoznata kao osobe koje se štite zaštitnim mjerama</w:t>
            </w:r>
          </w:p>
        </w:tc>
        <w:tc>
          <w:tcPr>
            <w:tcW w:w="1218" w:type="pct"/>
            <w:shd w:val="clear" w:color="auto" w:fill="auto"/>
          </w:tcPr>
          <w:p w:rsidR="00315078" w:rsidRPr="001E57EA" w:rsidRDefault="007D71C6" w:rsidP="00BF3ED5">
            <w:pPr>
              <w:pStyle w:val="TekstStrategija"/>
              <w:rPr>
                <w:sz w:val="16"/>
              </w:rPr>
            </w:pPr>
            <w:r w:rsidRPr="001E57EA">
              <w:rPr>
                <w:sz w:val="16"/>
              </w:rPr>
              <w:t>VSTV</w:t>
            </w:r>
          </w:p>
        </w:tc>
        <w:tc>
          <w:tcPr>
            <w:tcW w:w="856" w:type="pct"/>
            <w:shd w:val="clear" w:color="auto" w:fill="auto"/>
          </w:tcPr>
          <w:p w:rsidR="00315078" w:rsidRPr="001E57EA" w:rsidRDefault="00315078" w:rsidP="00BF3ED5">
            <w:pPr>
              <w:pStyle w:val="TekstStrategija"/>
              <w:rPr>
                <w:sz w:val="16"/>
              </w:rPr>
            </w:pPr>
            <w:r w:rsidRPr="001E57EA">
              <w:rPr>
                <w:sz w:val="16"/>
              </w:rPr>
              <w:t>5% (2019)</w:t>
            </w:r>
          </w:p>
          <w:p w:rsidR="00BF3ED5" w:rsidRPr="001E57EA" w:rsidRDefault="00BF3ED5" w:rsidP="00BF3ED5">
            <w:pPr>
              <w:pStyle w:val="TekstStrategija"/>
              <w:rPr>
                <w:sz w:val="16"/>
              </w:rPr>
            </w:pPr>
            <w:r w:rsidRPr="001E57EA">
              <w:rPr>
                <w:sz w:val="16"/>
              </w:rPr>
              <w:t>6%(2020)</w:t>
            </w:r>
          </w:p>
        </w:tc>
        <w:tc>
          <w:tcPr>
            <w:tcW w:w="805" w:type="pct"/>
            <w:shd w:val="clear" w:color="auto" w:fill="auto"/>
          </w:tcPr>
          <w:p w:rsidR="00315078" w:rsidRPr="001E57EA" w:rsidRDefault="00315078" w:rsidP="00BF3ED5">
            <w:pPr>
              <w:pStyle w:val="TekstStrategija"/>
              <w:rPr>
                <w:sz w:val="16"/>
              </w:rPr>
            </w:pPr>
            <w:r w:rsidRPr="001E57EA">
              <w:rPr>
                <w:sz w:val="16"/>
              </w:rPr>
              <w:t>20% (2027)</w:t>
            </w:r>
          </w:p>
        </w:tc>
      </w:tr>
      <w:tr w:rsidR="001E57EA" w:rsidRPr="001E57EA" w:rsidTr="00987169">
        <w:tc>
          <w:tcPr>
            <w:tcW w:w="2121" w:type="pct"/>
            <w:shd w:val="clear" w:color="auto" w:fill="auto"/>
          </w:tcPr>
          <w:p w:rsidR="00315078" w:rsidRPr="001E57EA" w:rsidRDefault="00315078" w:rsidP="00BF3ED5">
            <w:pPr>
              <w:pStyle w:val="TekstStrategija"/>
              <w:rPr>
                <w:sz w:val="16"/>
              </w:rPr>
            </w:pPr>
            <w:r w:rsidRPr="001E57EA">
              <w:rPr>
                <w:sz w:val="16"/>
              </w:rPr>
              <w:t>% osoba koje su smještene u sigurne kuće u odnosu na broj prijava</w:t>
            </w:r>
          </w:p>
        </w:tc>
        <w:tc>
          <w:tcPr>
            <w:tcW w:w="1218" w:type="pct"/>
            <w:shd w:val="clear" w:color="auto" w:fill="auto"/>
          </w:tcPr>
          <w:p w:rsidR="00315078" w:rsidRPr="001E57EA" w:rsidRDefault="00315078" w:rsidP="00BF3ED5">
            <w:pPr>
              <w:pStyle w:val="TekstStrategija"/>
              <w:rPr>
                <w:sz w:val="16"/>
              </w:rPr>
            </w:pPr>
            <w:r w:rsidRPr="001E57EA">
              <w:rPr>
                <w:sz w:val="16"/>
              </w:rPr>
              <w:t>FMRSP</w:t>
            </w:r>
          </w:p>
        </w:tc>
        <w:tc>
          <w:tcPr>
            <w:tcW w:w="856" w:type="pct"/>
            <w:shd w:val="clear" w:color="auto" w:fill="auto"/>
          </w:tcPr>
          <w:p w:rsidR="00315078" w:rsidRPr="001E57EA" w:rsidRDefault="00315078" w:rsidP="00BF3ED5">
            <w:pPr>
              <w:pStyle w:val="TekstStrategija"/>
              <w:rPr>
                <w:sz w:val="16"/>
              </w:rPr>
            </w:pPr>
            <w:r w:rsidRPr="001E57EA">
              <w:rPr>
                <w:sz w:val="16"/>
              </w:rPr>
              <w:t>10% (2019)</w:t>
            </w:r>
          </w:p>
        </w:tc>
        <w:tc>
          <w:tcPr>
            <w:tcW w:w="805" w:type="pct"/>
            <w:shd w:val="clear" w:color="auto" w:fill="auto"/>
          </w:tcPr>
          <w:p w:rsidR="00315078" w:rsidRPr="001E57EA" w:rsidRDefault="00380DE3" w:rsidP="00BF3ED5">
            <w:pPr>
              <w:pStyle w:val="TekstStrategija"/>
              <w:rPr>
                <w:sz w:val="16"/>
              </w:rPr>
            </w:pPr>
            <w:r w:rsidRPr="001E57EA">
              <w:rPr>
                <w:sz w:val="16"/>
              </w:rPr>
              <w:t>5</w:t>
            </w:r>
            <w:r w:rsidR="00315078" w:rsidRPr="001E57EA">
              <w:rPr>
                <w:sz w:val="16"/>
              </w:rPr>
              <w:t>% (2027)</w:t>
            </w:r>
          </w:p>
        </w:tc>
      </w:tr>
      <w:tr w:rsidR="001E57EA" w:rsidRPr="001E57EA" w:rsidTr="00987169">
        <w:tc>
          <w:tcPr>
            <w:tcW w:w="2121" w:type="pct"/>
            <w:shd w:val="clear" w:color="auto" w:fill="auto"/>
          </w:tcPr>
          <w:p w:rsidR="00365E03" w:rsidRPr="001E57EA" w:rsidRDefault="00365E03" w:rsidP="00BF3ED5">
            <w:pPr>
              <w:pStyle w:val="TekstStrategija"/>
              <w:rPr>
                <w:sz w:val="16"/>
              </w:rPr>
            </w:pPr>
            <w:r w:rsidRPr="001E57EA">
              <w:rPr>
                <w:sz w:val="16"/>
              </w:rPr>
              <w:t xml:space="preserve">% službenika koji smatraju da posao </w:t>
            </w:r>
            <w:r w:rsidR="007B4EB1" w:rsidRPr="001E57EA">
              <w:rPr>
                <w:sz w:val="16"/>
              </w:rPr>
              <w:t xml:space="preserve">utječe </w:t>
            </w:r>
            <w:r w:rsidRPr="001E57EA">
              <w:rPr>
                <w:sz w:val="16"/>
              </w:rPr>
              <w:t>negativno na njihovo zdravlje</w:t>
            </w:r>
          </w:p>
        </w:tc>
        <w:tc>
          <w:tcPr>
            <w:tcW w:w="1218" w:type="pct"/>
            <w:shd w:val="clear" w:color="auto" w:fill="auto"/>
          </w:tcPr>
          <w:p w:rsidR="00365E03" w:rsidRPr="001E57EA" w:rsidRDefault="00365E03" w:rsidP="00BF3ED5">
            <w:pPr>
              <w:pStyle w:val="TekstStrategija"/>
              <w:rPr>
                <w:sz w:val="16"/>
              </w:rPr>
            </w:pPr>
            <w:r w:rsidRPr="001E57EA">
              <w:rPr>
                <w:sz w:val="16"/>
              </w:rPr>
              <w:t>Istraživanje Asocijacija supervizora u BiH</w:t>
            </w:r>
          </w:p>
        </w:tc>
        <w:tc>
          <w:tcPr>
            <w:tcW w:w="856" w:type="pct"/>
            <w:shd w:val="clear" w:color="auto" w:fill="auto"/>
          </w:tcPr>
          <w:p w:rsidR="00365E03" w:rsidRPr="001E57EA" w:rsidRDefault="00365E03" w:rsidP="00BF3ED5">
            <w:pPr>
              <w:pStyle w:val="TekstStrategija"/>
              <w:rPr>
                <w:sz w:val="16"/>
              </w:rPr>
            </w:pPr>
            <w:r w:rsidRPr="001E57EA">
              <w:rPr>
                <w:sz w:val="16"/>
              </w:rPr>
              <w:t>31,2% (2021)</w:t>
            </w:r>
          </w:p>
        </w:tc>
        <w:tc>
          <w:tcPr>
            <w:tcW w:w="805" w:type="pct"/>
            <w:shd w:val="clear" w:color="auto" w:fill="auto"/>
          </w:tcPr>
          <w:p w:rsidR="00365E03" w:rsidRPr="001E57EA" w:rsidRDefault="00365E03" w:rsidP="00BF3ED5">
            <w:pPr>
              <w:pStyle w:val="TekstStrategija"/>
              <w:rPr>
                <w:sz w:val="16"/>
              </w:rPr>
            </w:pPr>
            <w:r w:rsidRPr="001E57EA">
              <w:rPr>
                <w:sz w:val="16"/>
              </w:rPr>
              <w:t>10% (2027)</w:t>
            </w:r>
          </w:p>
        </w:tc>
      </w:tr>
    </w:tbl>
    <w:p w:rsidR="008B567A" w:rsidRPr="001E57EA" w:rsidRDefault="008B567A" w:rsidP="005653B9">
      <w:pPr>
        <w:pStyle w:val="3naslov"/>
        <w:rPr>
          <w:rFonts w:cs="Arial"/>
        </w:rPr>
      </w:pPr>
      <w:bookmarkStart w:id="28" w:name="_Toc145323824"/>
      <w:r w:rsidRPr="001E57EA">
        <w:rPr>
          <w:rFonts w:cs="Arial"/>
        </w:rPr>
        <w:t xml:space="preserve">Mjera: </w:t>
      </w:r>
      <w:r w:rsidR="00156ED0" w:rsidRPr="001E57EA">
        <w:rPr>
          <w:rFonts w:cs="Arial"/>
        </w:rPr>
        <w:t xml:space="preserve">Unapređenje </w:t>
      </w:r>
      <w:r w:rsidRPr="001E57EA">
        <w:rPr>
          <w:rFonts w:cs="Arial"/>
        </w:rPr>
        <w:t>podršk</w:t>
      </w:r>
      <w:r w:rsidR="00156ED0" w:rsidRPr="001E57EA">
        <w:rPr>
          <w:rFonts w:cs="Arial"/>
        </w:rPr>
        <w:t>e</w:t>
      </w:r>
      <w:r w:rsidRPr="001E57EA">
        <w:rPr>
          <w:rFonts w:cs="Arial"/>
        </w:rPr>
        <w:t xml:space="preserve"> žrtvama</w:t>
      </w:r>
      <w:r w:rsidR="00F37081" w:rsidRPr="001E57EA">
        <w:rPr>
          <w:rFonts w:cs="Arial"/>
        </w:rPr>
        <w:t xml:space="preserve"> nasilja</w:t>
      </w:r>
      <w:bookmarkEnd w:id="28"/>
    </w:p>
    <w:p w:rsidR="002C41AE" w:rsidRPr="001E57EA" w:rsidRDefault="002C41AE" w:rsidP="00BF3ED5">
      <w:pPr>
        <w:pStyle w:val="TekstStrategija"/>
      </w:pPr>
    </w:p>
    <w:p w:rsidR="00770DC2" w:rsidRPr="001E57EA" w:rsidRDefault="00770DC2" w:rsidP="00BF3ED5">
      <w:pPr>
        <w:pStyle w:val="TekstStrategija"/>
      </w:pPr>
      <w:r w:rsidRPr="001E57EA">
        <w:t xml:space="preserve">S obzirom </w:t>
      </w:r>
      <w:r w:rsidR="007B4EB1" w:rsidRPr="001E57EA">
        <w:t xml:space="preserve">na to </w:t>
      </w:r>
      <w:r w:rsidR="00102726" w:rsidRPr="001E57EA">
        <w:t xml:space="preserve">da je </w:t>
      </w:r>
      <w:r w:rsidR="007B4EB1" w:rsidRPr="001E57EA">
        <w:t xml:space="preserve">reguliranje </w:t>
      </w:r>
      <w:r w:rsidRPr="001E57EA">
        <w:t xml:space="preserve">sistema besplatne pravne pomoći </w:t>
      </w:r>
      <w:r w:rsidR="007B4EB1" w:rsidRPr="001E57EA">
        <w:t xml:space="preserve">definirano </w:t>
      </w:r>
      <w:r w:rsidRPr="001E57EA">
        <w:t>kroz kantonalne propise</w:t>
      </w:r>
      <w:r w:rsidR="007B4EB1" w:rsidRPr="001E57EA">
        <w:t>,</w:t>
      </w:r>
      <w:r w:rsidRPr="001E57EA">
        <w:t xml:space="preserve"> postoji potreba međusobnog usaglašavanja propisa na način da </w:t>
      </w:r>
      <w:r w:rsidRPr="001E57EA">
        <w:lastRenderedPageBreak/>
        <w:t>se žrtve nasilja u porodici prepoznaju kao kategorija koris</w:t>
      </w:r>
      <w:r w:rsidR="00526C21" w:rsidRPr="001E57EA">
        <w:t>nika ove usluge neovisno o imov</w:t>
      </w:r>
      <w:r w:rsidRPr="001E57EA">
        <w:t>i</w:t>
      </w:r>
      <w:r w:rsidR="00526C21" w:rsidRPr="001E57EA">
        <w:t>n</w:t>
      </w:r>
      <w:r w:rsidRPr="001E57EA">
        <w:t xml:space="preserve">skom stanju. Također, potrebno je da kantonalne vlade pristupe usaglašavanju kantonalnih zakona o besplatnoj pravnoj pomoći u pogledu prava, korisnika, usluga, educiranja, evidencije, procjene potrebnog broja </w:t>
      </w:r>
      <w:r w:rsidR="00F37081" w:rsidRPr="001E57EA">
        <w:t>stručnih radnika</w:t>
      </w:r>
      <w:r w:rsidRPr="001E57EA">
        <w:t xml:space="preserve"> prema broju stanovnika uključujući i nevladine specijalizirane </w:t>
      </w:r>
      <w:r w:rsidR="00C570A8" w:rsidRPr="001E57EA">
        <w:t xml:space="preserve">pružaoce </w:t>
      </w:r>
      <w:r w:rsidRPr="001E57EA">
        <w:t>besplatne pravne pomoći žrtvama nasilja u porodici, fina</w:t>
      </w:r>
      <w:r w:rsidR="00A33AEE" w:rsidRPr="001E57EA">
        <w:t>n</w:t>
      </w:r>
      <w:r w:rsidRPr="001E57EA">
        <w:t>siranja i nadzora nad radom</w:t>
      </w:r>
      <w:r w:rsidR="00AF4890" w:rsidRPr="001E57EA">
        <w:t>.</w:t>
      </w:r>
      <w:r w:rsidR="00B4693E" w:rsidRPr="001E57EA">
        <w:t xml:space="preserve"> Također, potrebno je uspostaviti jedinstvenu metodologiju za evidenciju broja i vrste korisnika, broja usluga pruženih žrtvama nasilja u porodici, dužini trajanja postupaka i ishodu takvih postupaka u odnosu na postignuti uspjeh u zaštiti njihovih prava u svim kantonima, sa zbirnom evidencijom na nivou Federacije </w:t>
      </w:r>
      <w:r w:rsidR="005B3D01" w:rsidRPr="001E57EA">
        <w:t xml:space="preserve">BiH </w:t>
      </w:r>
      <w:r w:rsidR="00B4693E" w:rsidRPr="001E57EA">
        <w:t xml:space="preserve">i taj proces </w:t>
      </w:r>
      <w:r w:rsidR="007B4EB1" w:rsidRPr="001E57EA">
        <w:t xml:space="preserve">regulirati </w:t>
      </w:r>
      <w:r w:rsidR="00B4693E" w:rsidRPr="001E57EA">
        <w:t>propisom kako bi se osigurali podaci o ovim uslugama.</w:t>
      </w:r>
    </w:p>
    <w:p w:rsidR="000C6B2B" w:rsidRPr="001E57EA" w:rsidRDefault="00D50875" w:rsidP="00BF3ED5">
      <w:pPr>
        <w:pStyle w:val="TekstStrategija"/>
      </w:pPr>
      <w:r w:rsidRPr="001E57EA">
        <w:t>S ciljem dugoročno održi</w:t>
      </w:r>
      <w:r w:rsidR="0065792E" w:rsidRPr="001E57EA">
        <w:t>vi</w:t>
      </w:r>
      <w:r w:rsidRPr="001E57EA">
        <w:t xml:space="preserve">h promjena koje su rezultirale prijavom nasilja u porodici, primjenom zaštitnih mjera i rada sa žrtvama nasilja u porodici, ekonomska neovisnost </w:t>
      </w:r>
      <w:r w:rsidR="00F37081" w:rsidRPr="001E57EA">
        <w:t>ima značajnu ulogu</w:t>
      </w:r>
      <w:r w:rsidRPr="001E57EA">
        <w:t xml:space="preserve"> u </w:t>
      </w:r>
      <w:r w:rsidR="0065792E" w:rsidRPr="001E57EA">
        <w:t>smanjenju</w:t>
      </w:r>
      <w:r w:rsidRPr="001E57EA">
        <w:t xml:space="preserve"> broja recidiva. </w:t>
      </w:r>
      <w:r w:rsidR="007B4EB1" w:rsidRPr="001E57EA">
        <w:t>U vezi s tim,</w:t>
      </w:r>
      <w:r w:rsidRPr="001E57EA">
        <w:t xml:space="preserve"> potrebno je </w:t>
      </w:r>
      <w:r w:rsidR="003A1936" w:rsidRPr="001E57EA">
        <w:t>kontinuirano</w:t>
      </w:r>
      <w:r w:rsidRPr="001E57EA">
        <w:t xml:space="preserve"> provođenje, analiza i prilagođavanje programa za ekonomsko osnaživanje žena. Ovdje je važno istaći</w:t>
      </w:r>
      <w:r w:rsidR="00C00559" w:rsidRPr="001E57EA">
        <w:t>,</w:t>
      </w:r>
      <w:r w:rsidRPr="001E57EA">
        <w:t xml:space="preserve"> kako zavode za zapošljavanje koji </w:t>
      </w:r>
      <w:r w:rsidR="00501E50" w:rsidRPr="001E57EA">
        <w:t xml:space="preserve">realiziraju </w:t>
      </w:r>
      <w:r w:rsidRPr="001E57EA">
        <w:t xml:space="preserve">programe, tako i centre za </w:t>
      </w:r>
      <w:r w:rsidR="003A1936" w:rsidRPr="001E57EA">
        <w:t>socijalni</w:t>
      </w:r>
      <w:r w:rsidRPr="001E57EA">
        <w:t xml:space="preserve"> rad i nevladine organizacije koje direktno rade sa žrtvama </w:t>
      </w:r>
      <w:r w:rsidR="00922A73" w:rsidRPr="001E57EA">
        <w:t>nasilja</w:t>
      </w:r>
      <w:r w:rsidRPr="001E57EA">
        <w:t xml:space="preserve"> u porodici, ali i</w:t>
      </w:r>
      <w:r w:rsidR="00F37081" w:rsidRPr="001E57EA">
        <w:t xml:space="preserve"> potrebu za</w:t>
      </w:r>
      <w:r w:rsidRPr="001E57EA">
        <w:t xml:space="preserve"> </w:t>
      </w:r>
      <w:r w:rsidR="007B4EB1" w:rsidRPr="001E57EA">
        <w:t xml:space="preserve">informiranje </w:t>
      </w:r>
      <w:r w:rsidRPr="001E57EA">
        <w:t xml:space="preserve">i uklanjanje </w:t>
      </w:r>
      <w:r w:rsidR="003A1936" w:rsidRPr="001E57EA">
        <w:t>stereotipa</w:t>
      </w:r>
      <w:r w:rsidRPr="001E57EA">
        <w:t xml:space="preserve"> kod poslodavaca koji mogu zaposliti žrtve </w:t>
      </w:r>
      <w:r w:rsidR="00922A73" w:rsidRPr="001E57EA">
        <w:t>nasilja</w:t>
      </w:r>
      <w:r w:rsidRPr="001E57EA">
        <w:t xml:space="preserve"> u porodici, te </w:t>
      </w:r>
      <w:r w:rsidR="00922A73" w:rsidRPr="001E57EA">
        <w:t>povezivanje</w:t>
      </w:r>
      <w:r w:rsidRPr="001E57EA">
        <w:t xml:space="preserve"> sa sistemom obrazovanja.</w:t>
      </w:r>
      <w:r w:rsidR="00B4693E" w:rsidRPr="001E57EA">
        <w:t xml:space="preserve"> Poseban akcenat potrebno je staviti na</w:t>
      </w:r>
      <w:r w:rsidR="000C6B2B" w:rsidRPr="001E57EA">
        <w:t xml:space="preserve"> uvezivanju </w:t>
      </w:r>
      <w:r w:rsidR="00F37081" w:rsidRPr="001E57EA">
        <w:t xml:space="preserve">višestruko </w:t>
      </w:r>
      <w:r w:rsidR="00A61456" w:rsidRPr="001E57EA">
        <w:t>marginaliziranih</w:t>
      </w:r>
      <w:r w:rsidR="00501E50" w:rsidRPr="001E57EA">
        <w:t xml:space="preserve"> </w:t>
      </w:r>
      <w:r w:rsidR="000C6B2B" w:rsidRPr="001E57EA">
        <w:t>grupa, žena žrtava nasilja i žena koje su korisnice usluga socijalne zaštite sa programima podrške zapošljavanju i samozapošljavanju. Naime, ovoj društvenoj grupi višestuko je otežan pristup resursima podrške za</w:t>
      </w:r>
      <w:r w:rsidR="00B4693E" w:rsidRPr="001E57EA">
        <w:t>pošljavanju i samozapošljava</w:t>
      </w:r>
      <w:r w:rsidR="00262157" w:rsidRPr="001E57EA">
        <w:t>nj</w:t>
      </w:r>
      <w:r w:rsidR="00B4693E" w:rsidRPr="001E57EA">
        <w:t xml:space="preserve">u. </w:t>
      </w:r>
      <w:r w:rsidR="000C6B2B" w:rsidRPr="001E57EA">
        <w:t xml:space="preserve">U ovom procesu potrebno je identificirati </w:t>
      </w:r>
      <w:r w:rsidR="00501E50" w:rsidRPr="001E57EA">
        <w:t xml:space="preserve">zainteresirane </w:t>
      </w:r>
      <w:r w:rsidR="000C6B2B" w:rsidRPr="001E57EA">
        <w:t>poslodavce, raditi na jačanju svijesti poslodavaca, te unaprijediti njihovu saradnju sa mehanizmima podrške.</w:t>
      </w:r>
    </w:p>
    <w:p w:rsidR="00DF5221" w:rsidRPr="001E57EA" w:rsidRDefault="00DF5221" w:rsidP="00BF3ED5">
      <w:pPr>
        <w:pStyle w:val="TekstStrategija"/>
      </w:pPr>
      <w:r w:rsidRPr="001E57EA">
        <w:t xml:space="preserve">Trenutna SOS telefonska linija 1265 osigurava pokrivenost 24/7/365 i besplatna je. Međutim, ovaj sistem se bazira na Memorandumu o razumijevanju prema kojem je </w:t>
      </w:r>
      <w:r w:rsidR="00064FB0" w:rsidRPr="001E57EA">
        <w:t xml:space="preserve">definirano </w:t>
      </w:r>
      <w:r w:rsidRPr="001E57EA">
        <w:t xml:space="preserve">koja od institucija i nevladinih organizacija osigurava </w:t>
      </w:r>
      <w:r w:rsidR="00064FB0" w:rsidRPr="001E57EA">
        <w:t>uvjet</w:t>
      </w:r>
      <w:r w:rsidR="001771A8" w:rsidRPr="001E57EA">
        <w:t>e</w:t>
      </w:r>
      <w:r w:rsidRPr="001E57EA">
        <w:t xml:space="preserve"> za </w:t>
      </w:r>
      <w:r w:rsidR="007B4EB1" w:rsidRPr="001E57EA">
        <w:t>funkcioniranje</w:t>
      </w:r>
      <w:r w:rsidRPr="001E57EA">
        <w:t xml:space="preserve"> ovog servisa. Kako bi ovaj servis bio dugoročno održiv potrebno je </w:t>
      </w:r>
      <w:r w:rsidR="001771A8" w:rsidRPr="001E57EA">
        <w:t xml:space="preserve">zakonski </w:t>
      </w:r>
      <w:r w:rsidR="007B4EB1" w:rsidRPr="001E57EA">
        <w:t xml:space="preserve">definirati funkcioniranje </w:t>
      </w:r>
      <w:r w:rsidRPr="001E57EA">
        <w:t>SOS linije i unaprijediti efikasnost ovog servisa.</w:t>
      </w:r>
    </w:p>
    <w:p w:rsidR="002C41AE" w:rsidRPr="001E57EA" w:rsidRDefault="002C41AE"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6"/>
        <w:gridCol w:w="1562"/>
        <w:gridCol w:w="1508"/>
      </w:tblGrid>
      <w:tr w:rsidR="001E57EA" w:rsidRPr="001E57EA" w:rsidTr="00921AC6">
        <w:tc>
          <w:tcPr>
            <w:tcW w:w="4390" w:type="dxa"/>
            <w:shd w:val="clear" w:color="auto" w:fill="auto"/>
          </w:tcPr>
          <w:p w:rsidR="00315078" w:rsidRPr="001E57EA" w:rsidRDefault="00315078" w:rsidP="00BF3ED5">
            <w:pPr>
              <w:pStyle w:val="TekstStrategija"/>
              <w:rPr>
                <w:sz w:val="16"/>
              </w:rPr>
            </w:pPr>
            <w:r w:rsidRPr="001E57EA">
              <w:rPr>
                <w:sz w:val="16"/>
              </w:rPr>
              <w:t>Indikator na nivou mjere</w:t>
            </w:r>
          </w:p>
        </w:tc>
        <w:tc>
          <w:tcPr>
            <w:tcW w:w="1556" w:type="dxa"/>
            <w:shd w:val="clear" w:color="auto" w:fill="auto"/>
          </w:tcPr>
          <w:p w:rsidR="00315078" w:rsidRPr="001E57EA" w:rsidRDefault="00315078" w:rsidP="00BF3ED5">
            <w:pPr>
              <w:pStyle w:val="TekstStrategija"/>
              <w:rPr>
                <w:sz w:val="16"/>
              </w:rPr>
            </w:pPr>
            <w:r w:rsidRPr="001E57EA">
              <w:rPr>
                <w:sz w:val="16"/>
              </w:rPr>
              <w:t>Izvor</w:t>
            </w:r>
          </w:p>
        </w:tc>
        <w:tc>
          <w:tcPr>
            <w:tcW w:w="1562" w:type="dxa"/>
            <w:shd w:val="clear" w:color="auto" w:fill="auto"/>
          </w:tcPr>
          <w:p w:rsidR="00315078" w:rsidRPr="001E57EA" w:rsidRDefault="00315078" w:rsidP="00BF3ED5">
            <w:pPr>
              <w:pStyle w:val="TekstStrategija"/>
              <w:rPr>
                <w:sz w:val="16"/>
              </w:rPr>
            </w:pPr>
            <w:r w:rsidRPr="001E57EA">
              <w:rPr>
                <w:sz w:val="16"/>
              </w:rPr>
              <w:t>Polazna vrijednost</w:t>
            </w:r>
          </w:p>
        </w:tc>
        <w:tc>
          <w:tcPr>
            <w:tcW w:w="1508" w:type="dxa"/>
            <w:shd w:val="clear" w:color="auto" w:fill="auto"/>
          </w:tcPr>
          <w:p w:rsidR="00315078" w:rsidRPr="001E57EA" w:rsidRDefault="00315078" w:rsidP="00BF3ED5">
            <w:pPr>
              <w:pStyle w:val="TekstStrategija"/>
              <w:rPr>
                <w:sz w:val="16"/>
              </w:rPr>
            </w:pPr>
            <w:r w:rsidRPr="001E57EA">
              <w:rPr>
                <w:sz w:val="16"/>
              </w:rPr>
              <w:t>Ciljana vrijednost</w:t>
            </w:r>
          </w:p>
        </w:tc>
      </w:tr>
      <w:tr w:rsidR="001E57EA" w:rsidRPr="001E57EA" w:rsidTr="00921AC6">
        <w:tc>
          <w:tcPr>
            <w:tcW w:w="4390" w:type="dxa"/>
            <w:shd w:val="clear" w:color="auto" w:fill="auto"/>
          </w:tcPr>
          <w:p w:rsidR="00315078" w:rsidRPr="001E57EA" w:rsidRDefault="00315078" w:rsidP="00BF3ED5">
            <w:pPr>
              <w:pStyle w:val="TekstStrategija"/>
              <w:rPr>
                <w:sz w:val="16"/>
              </w:rPr>
            </w:pPr>
            <w:r w:rsidRPr="001E57EA">
              <w:rPr>
                <w:sz w:val="16"/>
              </w:rPr>
              <w:t>Broj poziva na SOS telefon 1265</w:t>
            </w:r>
          </w:p>
        </w:tc>
        <w:tc>
          <w:tcPr>
            <w:tcW w:w="1556" w:type="dxa"/>
            <w:shd w:val="clear" w:color="auto" w:fill="auto"/>
          </w:tcPr>
          <w:p w:rsidR="00315078" w:rsidRPr="001E57EA" w:rsidRDefault="00315078" w:rsidP="00BF3ED5">
            <w:pPr>
              <w:pStyle w:val="TekstStrategija"/>
              <w:rPr>
                <w:sz w:val="16"/>
              </w:rPr>
            </w:pPr>
            <w:r w:rsidRPr="001E57EA">
              <w:rPr>
                <w:sz w:val="16"/>
              </w:rPr>
              <w:t>Baza podataka</w:t>
            </w:r>
          </w:p>
        </w:tc>
        <w:tc>
          <w:tcPr>
            <w:tcW w:w="1562" w:type="dxa"/>
            <w:shd w:val="clear" w:color="auto" w:fill="auto"/>
          </w:tcPr>
          <w:p w:rsidR="00315078" w:rsidRPr="001E57EA" w:rsidRDefault="00315078" w:rsidP="00BF3ED5">
            <w:pPr>
              <w:pStyle w:val="TekstStrategija"/>
              <w:rPr>
                <w:sz w:val="16"/>
              </w:rPr>
            </w:pPr>
            <w:r w:rsidRPr="001E57EA">
              <w:rPr>
                <w:sz w:val="16"/>
              </w:rPr>
              <w:t>501</w:t>
            </w:r>
          </w:p>
        </w:tc>
        <w:tc>
          <w:tcPr>
            <w:tcW w:w="1508" w:type="dxa"/>
            <w:shd w:val="clear" w:color="auto" w:fill="auto"/>
          </w:tcPr>
          <w:p w:rsidR="00315078" w:rsidRPr="001E57EA" w:rsidRDefault="00315078" w:rsidP="00BF3ED5">
            <w:pPr>
              <w:pStyle w:val="TekstStrategija"/>
              <w:rPr>
                <w:sz w:val="16"/>
              </w:rPr>
            </w:pPr>
            <w:r w:rsidRPr="001E57EA">
              <w:rPr>
                <w:sz w:val="16"/>
              </w:rPr>
              <w:t>1.500</w:t>
            </w:r>
          </w:p>
        </w:tc>
      </w:tr>
      <w:tr w:rsidR="001E57EA" w:rsidRPr="001E57EA" w:rsidTr="00921AC6">
        <w:tc>
          <w:tcPr>
            <w:tcW w:w="4390" w:type="dxa"/>
            <w:shd w:val="clear" w:color="auto" w:fill="auto"/>
          </w:tcPr>
          <w:p w:rsidR="00315078" w:rsidRPr="001E57EA" w:rsidRDefault="00315078" w:rsidP="00BF3ED5">
            <w:pPr>
              <w:pStyle w:val="TekstStrategija"/>
              <w:rPr>
                <w:sz w:val="16"/>
              </w:rPr>
            </w:pPr>
            <w:r w:rsidRPr="001E57EA">
              <w:rPr>
                <w:sz w:val="16"/>
              </w:rPr>
              <w:t xml:space="preserve">% usluga besplatne pravne pomoći </w:t>
            </w:r>
            <w:r w:rsidR="0009144E" w:rsidRPr="001E57EA">
              <w:rPr>
                <w:sz w:val="16"/>
              </w:rPr>
              <w:t>u vezi sa</w:t>
            </w:r>
            <w:r w:rsidRPr="001E57EA">
              <w:rPr>
                <w:sz w:val="16"/>
              </w:rPr>
              <w:t xml:space="preserve"> nasilje</w:t>
            </w:r>
            <w:r w:rsidR="0009144E" w:rsidRPr="001E57EA">
              <w:rPr>
                <w:sz w:val="16"/>
              </w:rPr>
              <w:t>m</w:t>
            </w:r>
            <w:r w:rsidRPr="001E57EA">
              <w:rPr>
                <w:sz w:val="16"/>
              </w:rPr>
              <w:t xml:space="preserve"> u porodici</w:t>
            </w:r>
          </w:p>
        </w:tc>
        <w:tc>
          <w:tcPr>
            <w:tcW w:w="1556" w:type="dxa"/>
            <w:shd w:val="clear" w:color="auto" w:fill="auto"/>
          </w:tcPr>
          <w:p w:rsidR="00315078" w:rsidRPr="001E57EA" w:rsidRDefault="00315078" w:rsidP="00BF3ED5">
            <w:pPr>
              <w:pStyle w:val="TekstStrategija"/>
              <w:rPr>
                <w:sz w:val="16"/>
              </w:rPr>
            </w:pPr>
            <w:r w:rsidRPr="001E57EA">
              <w:rPr>
                <w:sz w:val="16"/>
              </w:rPr>
              <w:t>Izvještaj</w:t>
            </w:r>
          </w:p>
        </w:tc>
        <w:tc>
          <w:tcPr>
            <w:tcW w:w="1562" w:type="dxa"/>
            <w:shd w:val="clear" w:color="auto" w:fill="auto"/>
          </w:tcPr>
          <w:p w:rsidR="00315078" w:rsidRPr="001E57EA" w:rsidRDefault="006C51C4" w:rsidP="00BF3ED5">
            <w:pPr>
              <w:pStyle w:val="TekstStrategija"/>
              <w:rPr>
                <w:sz w:val="16"/>
              </w:rPr>
            </w:pPr>
            <w:r w:rsidRPr="001E57EA">
              <w:rPr>
                <w:sz w:val="16"/>
              </w:rPr>
              <w:t>Nema podataka o početnom stanju</w:t>
            </w:r>
          </w:p>
        </w:tc>
        <w:tc>
          <w:tcPr>
            <w:tcW w:w="1508" w:type="dxa"/>
            <w:shd w:val="clear" w:color="auto" w:fill="auto"/>
          </w:tcPr>
          <w:p w:rsidR="00315078" w:rsidRPr="001E57EA" w:rsidRDefault="004E5BF1" w:rsidP="00BF3ED5">
            <w:pPr>
              <w:pStyle w:val="TekstStrategija"/>
              <w:rPr>
                <w:sz w:val="16"/>
              </w:rPr>
            </w:pPr>
            <w:r w:rsidRPr="001E57EA">
              <w:rPr>
                <w:sz w:val="16"/>
              </w:rPr>
              <w:t>5</w:t>
            </w:r>
            <w:r w:rsidR="00C814EE" w:rsidRPr="001E57EA">
              <w:rPr>
                <w:sz w:val="16"/>
              </w:rPr>
              <w:t>% (2027)</w:t>
            </w:r>
          </w:p>
        </w:tc>
      </w:tr>
      <w:tr w:rsidR="001E57EA" w:rsidRPr="001E57EA" w:rsidTr="00921AC6">
        <w:tc>
          <w:tcPr>
            <w:tcW w:w="4390" w:type="dxa"/>
            <w:shd w:val="clear" w:color="auto" w:fill="auto"/>
          </w:tcPr>
          <w:p w:rsidR="00315078" w:rsidRPr="001E57EA" w:rsidRDefault="00315078" w:rsidP="00BF3ED5">
            <w:pPr>
              <w:pStyle w:val="TekstStrategija"/>
              <w:rPr>
                <w:sz w:val="16"/>
              </w:rPr>
            </w:pPr>
            <w:r w:rsidRPr="001E57EA">
              <w:rPr>
                <w:sz w:val="16"/>
              </w:rPr>
              <w:t>% žrtava nasilja korisnica programa ekonomskog osnaživanja</w:t>
            </w:r>
          </w:p>
        </w:tc>
        <w:tc>
          <w:tcPr>
            <w:tcW w:w="1556" w:type="dxa"/>
            <w:shd w:val="clear" w:color="auto" w:fill="auto"/>
          </w:tcPr>
          <w:p w:rsidR="00315078" w:rsidRPr="001E57EA" w:rsidRDefault="00315078" w:rsidP="00BF3ED5">
            <w:pPr>
              <w:pStyle w:val="TekstStrategija"/>
              <w:rPr>
                <w:sz w:val="16"/>
              </w:rPr>
            </w:pPr>
            <w:r w:rsidRPr="001E57EA">
              <w:rPr>
                <w:sz w:val="16"/>
              </w:rPr>
              <w:t>Zavodi za zapošljavanje</w:t>
            </w:r>
          </w:p>
        </w:tc>
        <w:tc>
          <w:tcPr>
            <w:tcW w:w="1562" w:type="dxa"/>
            <w:shd w:val="clear" w:color="auto" w:fill="auto"/>
          </w:tcPr>
          <w:p w:rsidR="00315078" w:rsidRPr="001E57EA" w:rsidRDefault="006C51C4" w:rsidP="00BF3ED5">
            <w:pPr>
              <w:pStyle w:val="TekstStrategija"/>
              <w:rPr>
                <w:sz w:val="16"/>
              </w:rPr>
            </w:pPr>
            <w:r w:rsidRPr="001E57EA">
              <w:rPr>
                <w:sz w:val="16"/>
              </w:rPr>
              <w:t>Nema podataka o početnom stanju</w:t>
            </w:r>
          </w:p>
        </w:tc>
        <w:tc>
          <w:tcPr>
            <w:tcW w:w="1508" w:type="dxa"/>
            <w:shd w:val="clear" w:color="auto" w:fill="auto"/>
          </w:tcPr>
          <w:p w:rsidR="00315078" w:rsidRPr="001E57EA" w:rsidRDefault="00C814EE" w:rsidP="00BF3ED5">
            <w:pPr>
              <w:pStyle w:val="TekstStrategija"/>
              <w:rPr>
                <w:sz w:val="16"/>
              </w:rPr>
            </w:pPr>
            <w:r w:rsidRPr="001E57EA">
              <w:rPr>
                <w:sz w:val="16"/>
              </w:rPr>
              <w:t>2% (2027)</w:t>
            </w:r>
          </w:p>
        </w:tc>
      </w:tr>
    </w:tbl>
    <w:p w:rsidR="001B03C7" w:rsidRPr="001E57EA" w:rsidRDefault="001B03C7" w:rsidP="001B03C7">
      <w:pPr>
        <w:pStyle w:val="3naslov"/>
        <w:rPr>
          <w:rFonts w:cs="Arial"/>
          <w:lang w:val="bs-Latn-BA"/>
        </w:rPr>
      </w:pPr>
      <w:bookmarkStart w:id="29" w:name="_Toc145323825"/>
      <w:r w:rsidRPr="001E57EA">
        <w:rPr>
          <w:rFonts w:cs="Arial"/>
          <w:lang w:val="bs-Latn-BA"/>
        </w:rPr>
        <w:t>Mjera: Unapređenje rada sa počiniocima nasilja u porodici</w:t>
      </w:r>
      <w:bookmarkEnd w:id="29"/>
    </w:p>
    <w:p w:rsidR="00F37081" w:rsidRPr="001E57EA" w:rsidRDefault="00F37081" w:rsidP="00BF3ED5">
      <w:pPr>
        <w:pStyle w:val="TekstStrategija"/>
      </w:pPr>
      <w:r w:rsidRPr="001E57EA">
        <w:t xml:space="preserve">Rad na promjeni nasilnog ponašanja kao izabranom i naučenom obrascu ponašanja </w:t>
      </w:r>
      <w:r w:rsidR="002C41AE" w:rsidRPr="001E57EA">
        <w:t xml:space="preserve">zahtijeva </w:t>
      </w:r>
      <w:r w:rsidRPr="001E57EA">
        <w:t>dugoročan i sistematičan tretman</w:t>
      </w:r>
      <w:r w:rsidR="002C41AE" w:rsidRPr="001E57EA">
        <w:t>,</w:t>
      </w:r>
      <w:r w:rsidRPr="001E57EA">
        <w:t xml:space="preserve"> zbog čega je neo</w:t>
      </w:r>
      <w:r w:rsidR="00A33AEE" w:rsidRPr="001E57EA">
        <w:t>p</w:t>
      </w:r>
      <w:r w:rsidRPr="001E57EA">
        <w:t xml:space="preserve">hodno raditi na unapređenju programa rada sa počiniocima nasilja, kao i </w:t>
      </w:r>
      <w:r w:rsidR="002C41AE" w:rsidRPr="001E57EA">
        <w:t xml:space="preserve">organiziranju </w:t>
      </w:r>
      <w:r w:rsidRPr="001E57EA">
        <w:t>specijaliziranih edukacija stručnjaka za provođenje psihosocijalnog tretmana počinioca nasilja.</w:t>
      </w:r>
    </w:p>
    <w:p w:rsidR="00F37081" w:rsidRPr="001E57EA" w:rsidRDefault="00F37081" w:rsidP="00BF3ED5">
      <w:pPr>
        <w:pStyle w:val="TekstStrategija"/>
      </w:pPr>
      <w:r w:rsidRPr="001E57EA">
        <w:lastRenderedPageBreak/>
        <w:t xml:space="preserve">Rad sa počiniocima nasilja je prepoznat kroz izricanje zaštitne mjere obaveznog psihosocijalnog tretmana koji podrazumijeva zaustavljanje i sprečavanje nasilnog ponašanja, uspostavljanje samokontrole, uvida u nasilno ponašanje, usvajanje socijalnih vještina i nenasilnih obrazaca ponašanja, te promjenu vrijednosti o partnerskom odnosu. </w:t>
      </w:r>
    </w:p>
    <w:p w:rsidR="00B27814" w:rsidRPr="001E57EA" w:rsidRDefault="00F37081" w:rsidP="00BF3ED5">
      <w:pPr>
        <w:pStyle w:val="TekstStrategija"/>
      </w:pPr>
      <w:r w:rsidRPr="001E57EA">
        <w:t xml:space="preserve">Također, obavezno liječenje ovisnosti jedna </w:t>
      </w:r>
      <w:r w:rsidR="002C41AE" w:rsidRPr="001E57EA">
        <w:t xml:space="preserve">je </w:t>
      </w:r>
      <w:r w:rsidRPr="001E57EA">
        <w:t>od zaštitnih mjera koja može biti izrečena počiniocima nasilja i na taj način se pruža podrška u liječenju i izlasku iz kruga ovisnosti.</w:t>
      </w:r>
    </w:p>
    <w:p w:rsidR="00F37081" w:rsidRPr="001E57EA" w:rsidRDefault="007B4EB1" w:rsidP="00BF3ED5">
      <w:pPr>
        <w:pStyle w:val="TekstStrategija"/>
      </w:pPr>
      <w:r w:rsidRPr="001E57EA">
        <w:t xml:space="preserve">Osim </w:t>
      </w:r>
      <w:r w:rsidR="00F37081" w:rsidRPr="001E57EA">
        <w:t>unapređenja rada sa počiniocima nasilja</w:t>
      </w:r>
      <w:r w:rsidR="00C570A8" w:rsidRPr="001E57EA">
        <w:t>,</w:t>
      </w:r>
      <w:r w:rsidR="00F37081" w:rsidRPr="001E57EA">
        <w:t xml:space="preserve"> predviđenog izricanjem zaštitnih mjera koje su zakonom obavezujuće, neophodno je osigurati i programe podrške na dobrovoljnoj osnovi kroz grupe samopomoći za </w:t>
      </w:r>
      <w:r w:rsidR="00C570A8" w:rsidRPr="001E57EA">
        <w:t xml:space="preserve">počinioce </w:t>
      </w:r>
      <w:r w:rsidR="00F37081" w:rsidRPr="001E57EA">
        <w:t>nasilja</w:t>
      </w:r>
      <w:r w:rsidR="00C570A8" w:rsidRPr="001E57EA">
        <w:t xml:space="preserve">. Programi </w:t>
      </w:r>
      <w:r w:rsidR="00F37081" w:rsidRPr="001E57EA">
        <w:t xml:space="preserve">su u prethodnom periodu </w:t>
      </w:r>
      <w:r w:rsidR="00C570A8" w:rsidRPr="001E57EA">
        <w:t xml:space="preserve">realizirani </w:t>
      </w:r>
      <w:r w:rsidR="00F37081" w:rsidRPr="001E57EA">
        <w:t>u saradnji centara za socijalni rad, centara za mentalno zdravlje i nevladnih organizacija. Takvi</w:t>
      </w:r>
      <w:r w:rsidR="00921AC6" w:rsidRPr="001E57EA">
        <w:t xml:space="preserve"> </w:t>
      </w:r>
      <w:r w:rsidR="00F37081" w:rsidRPr="001E57EA">
        <w:t>programi podrške pokazali</w:t>
      </w:r>
      <w:r w:rsidR="00921AC6" w:rsidRPr="001E57EA">
        <w:t xml:space="preserve"> </w:t>
      </w:r>
      <w:r w:rsidR="00C570A8" w:rsidRPr="001E57EA">
        <w:t xml:space="preserve">su </w:t>
      </w:r>
      <w:r w:rsidR="00F37081" w:rsidRPr="001E57EA">
        <w:t xml:space="preserve">značajne promjene u ponašanju osoba koje su počinile nasilje ili su bile u riziku da </w:t>
      </w:r>
      <w:r w:rsidR="00C570A8" w:rsidRPr="001E57EA">
        <w:t xml:space="preserve">počine </w:t>
      </w:r>
      <w:r w:rsidR="00F37081" w:rsidRPr="001E57EA">
        <w:t>nasilje.</w:t>
      </w:r>
    </w:p>
    <w:p w:rsidR="00F37081" w:rsidRPr="001E57EA" w:rsidRDefault="00F37081" w:rsidP="00BF3ED5">
      <w:pPr>
        <w:pStyle w:val="TekstStrategija"/>
      </w:pPr>
      <w:r w:rsidRPr="001E57EA">
        <w:t xml:space="preserve">Također, rad sa počiniocima nasilja moguć je i kroz klubove liječenih alkoholičara koji počiniocima nasilja nude mogućnost dobrovoljnog sudjelovanja u takvoj vrsti podrške, zbog čega je </w:t>
      </w:r>
      <w:r w:rsidR="00D95AE2" w:rsidRPr="001E57EA">
        <w:t>neopho</w:t>
      </w:r>
      <w:r w:rsidRPr="001E57EA">
        <w:t>dno osigurati dovoljno dostupnih klubova za liječene alkoholičare.</w:t>
      </w:r>
      <w:r w:rsidR="00921AC6" w:rsidRPr="001E57EA">
        <w:t xml:space="preserve"> </w:t>
      </w:r>
    </w:p>
    <w:p w:rsidR="001B03C7" w:rsidRPr="001E57EA" w:rsidRDefault="00F37081" w:rsidP="00BF3ED5">
      <w:pPr>
        <w:pStyle w:val="TekstStrategija"/>
      </w:pPr>
      <w:r w:rsidRPr="001E57EA">
        <w:t xml:space="preserve">Rezulat rada sa </w:t>
      </w:r>
      <w:r w:rsidR="00C570A8" w:rsidRPr="001E57EA">
        <w:t xml:space="preserve">počiniocima </w:t>
      </w:r>
      <w:r w:rsidRPr="001E57EA">
        <w:t xml:space="preserve">nasilja je dugoročna promjena nasilnog ponašanja koja pozitivno </w:t>
      </w:r>
      <w:r w:rsidR="007B4EB1" w:rsidRPr="001E57EA">
        <w:t>utječe</w:t>
      </w:r>
      <w:r w:rsidR="002C41AE" w:rsidRPr="001E57EA">
        <w:t>,</w:t>
      </w:r>
      <w:r w:rsidR="007B4EB1" w:rsidRPr="001E57EA">
        <w:t xml:space="preserve"> </w:t>
      </w:r>
      <w:r w:rsidRPr="001E57EA">
        <w:t xml:space="preserve">kako na </w:t>
      </w:r>
      <w:r w:rsidR="00C570A8" w:rsidRPr="001E57EA">
        <w:t xml:space="preserve">počinioca </w:t>
      </w:r>
      <w:r w:rsidRPr="001E57EA">
        <w:t>nasilja</w:t>
      </w:r>
      <w:r w:rsidR="00C570A8" w:rsidRPr="001E57EA">
        <w:t>,</w:t>
      </w:r>
      <w:r w:rsidRPr="001E57EA">
        <w:t xml:space="preserve"> tako i na </w:t>
      </w:r>
      <w:r w:rsidR="00C31CB3" w:rsidRPr="001E57EA">
        <w:t>član</w:t>
      </w:r>
      <w:r w:rsidRPr="001E57EA">
        <w:t>ove porodice, te dugoročno prevenira ponavljanje nasilja u porodici</w:t>
      </w:r>
      <w:r w:rsidR="00C570A8" w:rsidRPr="001E57EA">
        <w:t xml:space="preserve">. Zbog toga je </w:t>
      </w:r>
      <w:r w:rsidR="004317C3" w:rsidRPr="001E57EA">
        <w:t>neophodno</w:t>
      </w:r>
      <w:r w:rsidRPr="001E57EA">
        <w:t xml:space="preserve"> raditi na unapređenju mogućnosti izricanja i dosljednog provođenja zaštitnih mjera </w:t>
      </w:r>
      <w:r w:rsidR="00C570A8" w:rsidRPr="001E57EA">
        <w:t xml:space="preserve">obaveznog psihosocijalnog </w:t>
      </w:r>
      <w:r w:rsidRPr="001E57EA">
        <w:t>tretman</w:t>
      </w:r>
      <w:r w:rsidR="00C570A8" w:rsidRPr="001E57EA">
        <w:t>a</w:t>
      </w:r>
      <w:r w:rsidRPr="001E57EA">
        <w:t xml:space="preserve"> i liječenj</w:t>
      </w:r>
      <w:r w:rsidR="00C570A8" w:rsidRPr="001E57EA">
        <w:t>a</w:t>
      </w:r>
      <w:r w:rsidRPr="001E57EA">
        <w:t xml:space="preserve"> od ovisnosti.</w:t>
      </w:r>
      <w:r w:rsidR="00921AC6" w:rsidRPr="001E57EA">
        <w:t xml:space="preserve"> </w:t>
      </w:r>
    </w:p>
    <w:p w:rsidR="002C41AE" w:rsidRPr="001E57EA" w:rsidRDefault="002C41AE"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6"/>
        <w:gridCol w:w="1562"/>
        <w:gridCol w:w="1508"/>
      </w:tblGrid>
      <w:tr w:rsidR="001E57EA" w:rsidRPr="001E57EA" w:rsidTr="00921AC6">
        <w:tc>
          <w:tcPr>
            <w:tcW w:w="4390" w:type="dxa"/>
            <w:shd w:val="clear" w:color="auto" w:fill="auto"/>
          </w:tcPr>
          <w:p w:rsidR="001B03C7" w:rsidRPr="001E57EA" w:rsidRDefault="001B03C7" w:rsidP="00BF3ED5">
            <w:pPr>
              <w:pStyle w:val="TekstStrategija"/>
              <w:rPr>
                <w:sz w:val="16"/>
              </w:rPr>
            </w:pPr>
            <w:r w:rsidRPr="001E57EA">
              <w:rPr>
                <w:sz w:val="16"/>
              </w:rPr>
              <w:t>Indikator na nivou mjere</w:t>
            </w:r>
          </w:p>
        </w:tc>
        <w:tc>
          <w:tcPr>
            <w:tcW w:w="1556" w:type="dxa"/>
            <w:shd w:val="clear" w:color="auto" w:fill="auto"/>
          </w:tcPr>
          <w:p w:rsidR="001B03C7" w:rsidRPr="001E57EA" w:rsidRDefault="001B03C7" w:rsidP="00BF3ED5">
            <w:pPr>
              <w:pStyle w:val="TekstStrategija"/>
              <w:rPr>
                <w:sz w:val="16"/>
              </w:rPr>
            </w:pPr>
            <w:r w:rsidRPr="001E57EA">
              <w:rPr>
                <w:sz w:val="16"/>
              </w:rPr>
              <w:t>Izvor</w:t>
            </w:r>
          </w:p>
        </w:tc>
        <w:tc>
          <w:tcPr>
            <w:tcW w:w="1562" w:type="dxa"/>
            <w:shd w:val="clear" w:color="auto" w:fill="auto"/>
          </w:tcPr>
          <w:p w:rsidR="001B03C7" w:rsidRPr="001E57EA" w:rsidRDefault="001B03C7" w:rsidP="00BF3ED5">
            <w:pPr>
              <w:pStyle w:val="TekstStrategija"/>
              <w:rPr>
                <w:sz w:val="16"/>
              </w:rPr>
            </w:pPr>
            <w:r w:rsidRPr="001E57EA">
              <w:rPr>
                <w:sz w:val="16"/>
              </w:rPr>
              <w:t>Polazna vrijednost</w:t>
            </w:r>
          </w:p>
        </w:tc>
        <w:tc>
          <w:tcPr>
            <w:tcW w:w="1508" w:type="dxa"/>
            <w:shd w:val="clear" w:color="auto" w:fill="auto"/>
          </w:tcPr>
          <w:p w:rsidR="001B03C7" w:rsidRPr="001E57EA" w:rsidRDefault="001B03C7" w:rsidP="00BF3ED5">
            <w:pPr>
              <w:pStyle w:val="TekstStrategija"/>
              <w:rPr>
                <w:sz w:val="16"/>
              </w:rPr>
            </w:pPr>
            <w:r w:rsidRPr="001E57EA">
              <w:rPr>
                <w:sz w:val="16"/>
              </w:rPr>
              <w:t>Ciljana vrijednost</w:t>
            </w:r>
          </w:p>
        </w:tc>
      </w:tr>
      <w:tr w:rsidR="001E57EA" w:rsidRPr="001E57EA" w:rsidTr="00921AC6">
        <w:tc>
          <w:tcPr>
            <w:tcW w:w="4390" w:type="dxa"/>
            <w:shd w:val="clear" w:color="auto" w:fill="auto"/>
          </w:tcPr>
          <w:p w:rsidR="00B27814" w:rsidRPr="001E57EA" w:rsidRDefault="00B27814" w:rsidP="00BF3ED5">
            <w:pPr>
              <w:pStyle w:val="TekstStrategija"/>
              <w:rPr>
                <w:sz w:val="16"/>
              </w:rPr>
            </w:pPr>
            <w:r w:rsidRPr="001E57EA">
              <w:rPr>
                <w:sz w:val="16"/>
              </w:rPr>
              <w:t>% recidiva počinilaca nasilja u porodici</w:t>
            </w:r>
          </w:p>
        </w:tc>
        <w:tc>
          <w:tcPr>
            <w:tcW w:w="1556" w:type="dxa"/>
            <w:shd w:val="clear" w:color="auto" w:fill="auto"/>
          </w:tcPr>
          <w:p w:rsidR="00B27814" w:rsidRPr="001E57EA" w:rsidRDefault="00B27814" w:rsidP="00BF3ED5">
            <w:pPr>
              <w:pStyle w:val="TekstStrategija"/>
              <w:rPr>
                <w:sz w:val="16"/>
              </w:rPr>
            </w:pPr>
            <w:r w:rsidRPr="001E57EA">
              <w:rPr>
                <w:sz w:val="16"/>
              </w:rPr>
              <w:t>Istraživanje</w:t>
            </w:r>
          </w:p>
        </w:tc>
        <w:tc>
          <w:tcPr>
            <w:tcW w:w="1562" w:type="dxa"/>
            <w:shd w:val="clear" w:color="auto" w:fill="auto"/>
          </w:tcPr>
          <w:p w:rsidR="00B27814" w:rsidRPr="001E57EA" w:rsidRDefault="00B27814" w:rsidP="00BF3ED5">
            <w:pPr>
              <w:pStyle w:val="TekstStrategija"/>
              <w:rPr>
                <w:sz w:val="16"/>
              </w:rPr>
            </w:pPr>
            <w:r w:rsidRPr="001E57EA">
              <w:rPr>
                <w:sz w:val="16"/>
              </w:rPr>
              <w:t xml:space="preserve">2022. </w:t>
            </w:r>
            <w:r w:rsidR="002C41AE" w:rsidRPr="001E57EA">
              <w:rPr>
                <w:sz w:val="16"/>
              </w:rPr>
              <w:t xml:space="preserve">- </w:t>
            </w:r>
            <w:r w:rsidRPr="001E57EA">
              <w:rPr>
                <w:sz w:val="16"/>
              </w:rPr>
              <w:t>bit će kroz istraživanje</w:t>
            </w:r>
          </w:p>
        </w:tc>
        <w:tc>
          <w:tcPr>
            <w:tcW w:w="1508" w:type="dxa"/>
            <w:shd w:val="clear" w:color="auto" w:fill="auto"/>
          </w:tcPr>
          <w:p w:rsidR="00B27814" w:rsidRPr="001E57EA" w:rsidRDefault="00B27814" w:rsidP="00BF3ED5">
            <w:pPr>
              <w:pStyle w:val="TekstStrategija"/>
              <w:rPr>
                <w:sz w:val="16"/>
              </w:rPr>
            </w:pPr>
          </w:p>
        </w:tc>
      </w:tr>
      <w:tr w:rsidR="001E57EA" w:rsidRPr="001E57EA" w:rsidTr="00921AC6">
        <w:tc>
          <w:tcPr>
            <w:tcW w:w="4390" w:type="dxa"/>
            <w:shd w:val="clear" w:color="auto" w:fill="auto"/>
          </w:tcPr>
          <w:p w:rsidR="00B27814" w:rsidRPr="001E57EA" w:rsidRDefault="00B27814" w:rsidP="00BF3ED5">
            <w:pPr>
              <w:pStyle w:val="TekstStrategija"/>
              <w:rPr>
                <w:sz w:val="16"/>
              </w:rPr>
            </w:pPr>
            <w:r w:rsidRPr="001E57EA">
              <w:rPr>
                <w:sz w:val="16"/>
              </w:rPr>
              <w:t>% certificiranih provodi</w:t>
            </w:r>
            <w:r w:rsidR="00A349CB" w:rsidRPr="001E57EA">
              <w:rPr>
                <w:sz w:val="16"/>
              </w:rPr>
              <w:t>la</w:t>
            </w:r>
            <w:r w:rsidRPr="001E57EA">
              <w:rPr>
                <w:sz w:val="16"/>
              </w:rPr>
              <w:t>ca psihosocijalnog tretmana</w:t>
            </w:r>
          </w:p>
        </w:tc>
        <w:tc>
          <w:tcPr>
            <w:tcW w:w="1556" w:type="dxa"/>
            <w:shd w:val="clear" w:color="auto" w:fill="auto"/>
          </w:tcPr>
          <w:p w:rsidR="00B27814" w:rsidRPr="001E57EA" w:rsidRDefault="00B27814" w:rsidP="00BF3ED5">
            <w:pPr>
              <w:pStyle w:val="TekstStrategija"/>
              <w:rPr>
                <w:sz w:val="16"/>
              </w:rPr>
            </w:pPr>
            <w:r w:rsidRPr="001E57EA">
              <w:rPr>
                <w:sz w:val="16"/>
              </w:rPr>
              <w:t>FMZ</w:t>
            </w:r>
          </w:p>
        </w:tc>
        <w:tc>
          <w:tcPr>
            <w:tcW w:w="1562" w:type="dxa"/>
            <w:shd w:val="clear" w:color="auto" w:fill="auto"/>
          </w:tcPr>
          <w:p w:rsidR="00B27814" w:rsidRPr="001E57EA" w:rsidRDefault="00AB440C" w:rsidP="00BF3ED5">
            <w:pPr>
              <w:pStyle w:val="TekstStrategija"/>
              <w:rPr>
                <w:sz w:val="16"/>
              </w:rPr>
            </w:pPr>
            <w:r w:rsidRPr="001E57EA">
              <w:rPr>
                <w:sz w:val="16"/>
              </w:rPr>
              <w:t>64% (2021)</w:t>
            </w:r>
          </w:p>
        </w:tc>
        <w:tc>
          <w:tcPr>
            <w:tcW w:w="1508" w:type="dxa"/>
            <w:shd w:val="clear" w:color="auto" w:fill="auto"/>
          </w:tcPr>
          <w:p w:rsidR="00B27814" w:rsidRPr="001E57EA" w:rsidRDefault="00AB440C" w:rsidP="00BF3ED5">
            <w:pPr>
              <w:pStyle w:val="TekstStrategija"/>
              <w:rPr>
                <w:sz w:val="16"/>
              </w:rPr>
            </w:pPr>
            <w:r w:rsidRPr="001E57EA">
              <w:rPr>
                <w:sz w:val="16"/>
              </w:rPr>
              <w:t>100% (2027)</w:t>
            </w:r>
          </w:p>
        </w:tc>
      </w:tr>
      <w:tr w:rsidR="001E57EA" w:rsidRPr="001E57EA" w:rsidTr="00921AC6">
        <w:tc>
          <w:tcPr>
            <w:tcW w:w="4390" w:type="dxa"/>
            <w:shd w:val="clear" w:color="auto" w:fill="auto"/>
          </w:tcPr>
          <w:p w:rsidR="00AB440C" w:rsidRPr="001E57EA" w:rsidRDefault="00AB440C" w:rsidP="00BF3ED5">
            <w:pPr>
              <w:pStyle w:val="TekstStrategija"/>
              <w:rPr>
                <w:sz w:val="16"/>
              </w:rPr>
            </w:pPr>
            <w:r w:rsidRPr="001E57EA">
              <w:rPr>
                <w:sz w:val="16"/>
              </w:rPr>
              <w:t>% izrečenih zaštitnih mjera obavezan psihosocijalni tretmanom</w:t>
            </w:r>
          </w:p>
        </w:tc>
        <w:tc>
          <w:tcPr>
            <w:tcW w:w="1556" w:type="dxa"/>
            <w:shd w:val="clear" w:color="auto" w:fill="auto"/>
          </w:tcPr>
          <w:p w:rsidR="00AB440C" w:rsidRPr="001E57EA" w:rsidRDefault="00C814EE" w:rsidP="00BF3ED5">
            <w:pPr>
              <w:pStyle w:val="TekstStrategija"/>
              <w:rPr>
                <w:sz w:val="16"/>
              </w:rPr>
            </w:pPr>
            <w:r w:rsidRPr="001E57EA">
              <w:rPr>
                <w:sz w:val="16"/>
              </w:rPr>
              <w:t>FMZ i VSTV</w:t>
            </w:r>
          </w:p>
        </w:tc>
        <w:tc>
          <w:tcPr>
            <w:tcW w:w="1562" w:type="dxa"/>
            <w:shd w:val="clear" w:color="auto" w:fill="auto"/>
          </w:tcPr>
          <w:p w:rsidR="00AB440C" w:rsidRPr="001E57EA" w:rsidRDefault="00AB440C" w:rsidP="00BF3ED5">
            <w:pPr>
              <w:pStyle w:val="TekstStrategija"/>
              <w:rPr>
                <w:sz w:val="16"/>
              </w:rPr>
            </w:pPr>
            <w:r w:rsidRPr="001E57EA">
              <w:rPr>
                <w:sz w:val="16"/>
              </w:rPr>
              <w:t>12% (2019)</w:t>
            </w:r>
          </w:p>
          <w:p w:rsidR="00BF3ED5" w:rsidRPr="001E57EA" w:rsidRDefault="00BF3ED5" w:rsidP="00BF3ED5">
            <w:pPr>
              <w:pStyle w:val="TekstStrategija"/>
              <w:rPr>
                <w:sz w:val="16"/>
              </w:rPr>
            </w:pPr>
            <w:r w:rsidRPr="001E57EA">
              <w:rPr>
                <w:sz w:val="16"/>
              </w:rPr>
              <w:t>10,45 (2020)</w:t>
            </w:r>
          </w:p>
        </w:tc>
        <w:tc>
          <w:tcPr>
            <w:tcW w:w="1508" w:type="dxa"/>
            <w:shd w:val="clear" w:color="auto" w:fill="auto"/>
          </w:tcPr>
          <w:p w:rsidR="00AB440C" w:rsidRPr="001E57EA" w:rsidRDefault="00AB440C" w:rsidP="00BF3ED5">
            <w:pPr>
              <w:pStyle w:val="TekstStrategija"/>
              <w:rPr>
                <w:sz w:val="16"/>
              </w:rPr>
            </w:pPr>
            <w:r w:rsidRPr="001E57EA">
              <w:rPr>
                <w:sz w:val="16"/>
              </w:rPr>
              <w:t xml:space="preserve">40% </w:t>
            </w:r>
            <w:r w:rsidR="00BF3ED5" w:rsidRPr="001E57EA">
              <w:rPr>
                <w:sz w:val="16"/>
              </w:rPr>
              <w:t>(2027)</w:t>
            </w:r>
          </w:p>
        </w:tc>
      </w:tr>
      <w:tr w:rsidR="001E57EA" w:rsidRPr="001E57EA" w:rsidTr="00921AC6">
        <w:tc>
          <w:tcPr>
            <w:tcW w:w="4390" w:type="dxa"/>
            <w:shd w:val="clear" w:color="auto" w:fill="auto"/>
          </w:tcPr>
          <w:p w:rsidR="00B27814" w:rsidRPr="001E57EA" w:rsidRDefault="00B27814" w:rsidP="00BF3ED5">
            <w:pPr>
              <w:pStyle w:val="TekstStrategija"/>
              <w:rPr>
                <w:sz w:val="16"/>
              </w:rPr>
            </w:pPr>
            <w:r w:rsidRPr="001E57EA">
              <w:rPr>
                <w:sz w:val="16"/>
              </w:rPr>
              <w:t>% izrečenih zaštitnih mjera liječenje ovisnosti</w:t>
            </w:r>
          </w:p>
        </w:tc>
        <w:tc>
          <w:tcPr>
            <w:tcW w:w="1556" w:type="dxa"/>
            <w:shd w:val="clear" w:color="auto" w:fill="auto"/>
          </w:tcPr>
          <w:p w:rsidR="00B27814" w:rsidRPr="001E57EA" w:rsidRDefault="00B27814" w:rsidP="00BF3ED5">
            <w:pPr>
              <w:pStyle w:val="TekstStrategija"/>
              <w:rPr>
                <w:sz w:val="16"/>
              </w:rPr>
            </w:pPr>
            <w:r w:rsidRPr="001E57EA">
              <w:rPr>
                <w:sz w:val="16"/>
              </w:rPr>
              <w:t>FMZ</w:t>
            </w:r>
            <w:r w:rsidR="00C814EE" w:rsidRPr="001E57EA">
              <w:rPr>
                <w:sz w:val="16"/>
              </w:rPr>
              <w:t xml:space="preserve"> i VSTV</w:t>
            </w:r>
          </w:p>
        </w:tc>
        <w:tc>
          <w:tcPr>
            <w:tcW w:w="1562" w:type="dxa"/>
            <w:shd w:val="clear" w:color="auto" w:fill="auto"/>
          </w:tcPr>
          <w:p w:rsidR="00B27814" w:rsidRPr="001E57EA" w:rsidRDefault="001302A2" w:rsidP="00BF3ED5">
            <w:pPr>
              <w:pStyle w:val="TekstStrategija"/>
              <w:rPr>
                <w:sz w:val="16"/>
              </w:rPr>
            </w:pPr>
            <w:r w:rsidRPr="001E57EA">
              <w:rPr>
                <w:sz w:val="16"/>
              </w:rPr>
              <w:t>5,3 (2020)</w:t>
            </w:r>
          </w:p>
        </w:tc>
        <w:tc>
          <w:tcPr>
            <w:tcW w:w="1508" w:type="dxa"/>
            <w:shd w:val="clear" w:color="auto" w:fill="auto"/>
          </w:tcPr>
          <w:p w:rsidR="00B27814" w:rsidRPr="001E57EA" w:rsidRDefault="001302A2" w:rsidP="001302A2">
            <w:pPr>
              <w:pStyle w:val="TekstStrategija"/>
              <w:rPr>
                <w:sz w:val="16"/>
                <w:highlight w:val="yellow"/>
              </w:rPr>
            </w:pPr>
            <w:r w:rsidRPr="001E57EA">
              <w:rPr>
                <w:sz w:val="16"/>
              </w:rPr>
              <w:t>15% (2027)</w:t>
            </w:r>
          </w:p>
        </w:tc>
      </w:tr>
    </w:tbl>
    <w:p w:rsidR="00753FDE" w:rsidRPr="001E57EA" w:rsidRDefault="008B567A" w:rsidP="008B567A">
      <w:pPr>
        <w:pStyle w:val="2naslov"/>
        <w:rPr>
          <w:rFonts w:cs="Arial"/>
        </w:rPr>
      </w:pPr>
      <w:bookmarkStart w:id="30" w:name="_Toc145323826"/>
      <w:r w:rsidRPr="001E57EA">
        <w:rPr>
          <w:rFonts w:cs="Arial"/>
        </w:rPr>
        <w:t>Prioritet</w:t>
      </w:r>
      <w:r w:rsidR="00102726" w:rsidRPr="001E57EA">
        <w:rPr>
          <w:rFonts w:cs="Arial"/>
        </w:rPr>
        <w:t xml:space="preserve"> 3: </w:t>
      </w:r>
      <w:r w:rsidRPr="001E57EA">
        <w:rPr>
          <w:rFonts w:cs="Arial"/>
        </w:rPr>
        <w:t>Unaprijediti istražne i pravosudne radnje u slučajevima nasilja u porodici</w:t>
      </w:r>
      <w:bookmarkEnd w:id="30"/>
    </w:p>
    <w:p w:rsidR="002C41AE" w:rsidRPr="001E57EA" w:rsidRDefault="002C41AE" w:rsidP="00BF3ED5">
      <w:pPr>
        <w:pStyle w:val="TekstStrategija"/>
      </w:pPr>
    </w:p>
    <w:p w:rsidR="00AF4890" w:rsidRPr="001E57EA" w:rsidRDefault="00AF4890" w:rsidP="00BF3ED5">
      <w:pPr>
        <w:pStyle w:val="TekstStrategija"/>
      </w:pPr>
      <w:r w:rsidRPr="001E57EA">
        <w:t>Obaveza države da zaštiti svoje građane</w:t>
      </w:r>
      <w:r w:rsidR="002C41AE" w:rsidRPr="001E57EA">
        <w:t>,</w:t>
      </w:r>
      <w:r w:rsidRPr="001E57EA">
        <w:t xml:space="preserve"> kako od nasilja u porodici</w:t>
      </w:r>
      <w:r w:rsidR="002C41AE" w:rsidRPr="001E57EA">
        <w:t>,</w:t>
      </w:r>
      <w:r w:rsidRPr="001E57EA">
        <w:t xml:space="preserve"> tako i od diskriminatorskih praksi koje se ogledaju u različitim pravima na zaštitu od nasilja u porodici</w:t>
      </w:r>
      <w:r w:rsidR="002C41AE" w:rsidRPr="001E57EA">
        <w:t>,</w:t>
      </w:r>
      <w:r w:rsidRPr="001E57EA">
        <w:t xml:space="preserve"> ovisno o mjestu boravka</w:t>
      </w:r>
      <w:r w:rsidR="00262157" w:rsidRPr="001E57EA">
        <w:t>,</w:t>
      </w:r>
      <w:r w:rsidRPr="001E57EA">
        <w:t xml:space="preserve"> </w:t>
      </w:r>
      <w:r w:rsidR="002C41AE" w:rsidRPr="001E57EA">
        <w:t xml:space="preserve">zahtijeva </w:t>
      </w:r>
      <w:r w:rsidR="00262157" w:rsidRPr="001E57EA">
        <w:t>standardizirane</w:t>
      </w:r>
      <w:r w:rsidRPr="001E57EA">
        <w:t xml:space="preserve"> procedur</w:t>
      </w:r>
      <w:r w:rsidR="001B4EAA" w:rsidRPr="001E57EA">
        <w:t>e</w:t>
      </w:r>
      <w:r w:rsidRPr="001E57EA">
        <w:t xml:space="preserve"> postupanja </w:t>
      </w:r>
      <w:r w:rsidR="001B4EAA" w:rsidRPr="001E57EA">
        <w:t>u slučajevima nasilja u porodici i</w:t>
      </w:r>
      <w:r w:rsidRPr="001E57EA">
        <w:t xml:space="preserve"> krivi</w:t>
      </w:r>
      <w:r w:rsidR="001B4EAA" w:rsidRPr="001E57EA">
        <w:t xml:space="preserve">čnog djela nasilja u porodici, te </w:t>
      </w:r>
      <w:r w:rsidRPr="001E57EA">
        <w:t>harmonizacij</w:t>
      </w:r>
      <w:r w:rsidR="001B4EAA" w:rsidRPr="001E57EA">
        <w:t>u</w:t>
      </w:r>
      <w:r w:rsidRPr="001E57EA">
        <w:t xml:space="preserve"> prakse. Neovisno o mjestu boravka potrebno je da se za žrtvu nasilja u porodici osigura odgovarajuća zaštita kod </w:t>
      </w:r>
      <w:r w:rsidR="001B4EAA" w:rsidRPr="001E57EA">
        <w:t xml:space="preserve">nasilja u porodici i </w:t>
      </w:r>
      <w:r w:rsidRPr="001E57EA">
        <w:t xml:space="preserve">krivičnog djela nasilja u porodici. Istovremeno, </w:t>
      </w:r>
      <w:r w:rsidR="001B4EAA" w:rsidRPr="001E57EA">
        <w:t>policijski službenici</w:t>
      </w:r>
      <w:r w:rsidRPr="001E57EA">
        <w:t xml:space="preserve"> i druge osobe </w:t>
      </w:r>
      <w:r w:rsidR="002C41AE" w:rsidRPr="001E57EA">
        <w:t xml:space="preserve">uključene </w:t>
      </w:r>
      <w:r w:rsidRPr="001E57EA">
        <w:t xml:space="preserve">u </w:t>
      </w:r>
      <w:r w:rsidR="002C41AE" w:rsidRPr="001E57EA">
        <w:t xml:space="preserve">provođenje </w:t>
      </w:r>
      <w:r w:rsidR="001B4EAA" w:rsidRPr="001E57EA">
        <w:t>zaštitnih mjera i</w:t>
      </w:r>
      <w:r w:rsidRPr="001E57EA">
        <w:t xml:space="preserve"> istražnog postupka treba da imaju jasne i odgovarajuće procedure, potreb</w:t>
      </w:r>
      <w:r w:rsidR="00F37081" w:rsidRPr="001E57EA">
        <w:t>n</w:t>
      </w:r>
      <w:r w:rsidRPr="001E57EA">
        <w:t xml:space="preserve">e resurse </w:t>
      </w:r>
      <w:r w:rsidRPr="001E57EA">
        <w:lastRenderedPageBreak/>
        <w:t>i odgovarajuća znanja i vještine.</w:t>
      </w:r>
      <w:r w:rsidR="00DF5221" w:rsidRPr="001E57EA">
        <w:t xml:space="preserve"> Ovo podrazumijeva i jasa</w:t>
      </w:r>
      <w:r w:rsidR="001B4EAA" w:rsidRPr="001E57EA">
        <w:t>n</w:t>
      </w:r>
      <w:r w:rsidR="00DF5221" w:rsidRPr="001E57EA">
        <w:t xml:space="preserve"> postupak prijavljivanja i izricanja zaštitnih mjera, odnosno </w:t>
      </w:r>
      <w:r w:rsidR="007B4EB1" w:rsidRPr="001E57EA">
        <w:t xml:space="preserve">definiranje </w:t>
      </w:r>
      <w:r w:rsidR="00DF5221" w:rsidRPr="001E57EA">
        <w:t>jasnih procedura. Također, potrebno je ohrabrivati građane da prijave nasilje nadležnim organima, ali ohrabrivati i profesionalce da prijave nasilje nadležnim organima</w:t>
      </w:r>
      <w:r w:rsidR="002C41AE" w:rsidRPr="001E57EA">
        <w:t>,</w:t>
      </w:r>
      <w:r w:rsidR="00DF5221" w:rsidRPr="001E57EA">
        <w:t xml:space="preserve"> uz naglašavanje da taj korak ne predstavlja povredu povjerljivosti.</w:t>
      </w:r>
    </w:p>
    <w:p w:rsidR="002C41AE" w:rsidRPr="001E57EA" w:rsidRDefault="002C41AE"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28"/>
        <w:gridCol w:w="1946"/>
        <w:gridCol w:w="1435"/>
      </w:tblGrid>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Indikator na nivou prioriteta 3: Unaprijediti istražne i pravosudne radnje u slučajevima nasilja u porodici</w:t>
            </w:r>
          </w:p>
        </w:tc>
        <w:tc>
          <w:tcPr>
            <w:tcW w:w="1228" w:type="dxa"/>
            <w:shd w:val="clear" w:color="auto" w:fill="auto"/>
          </w:tcPr>
          <w:p w:rsidR="008B567A" w:rsidRPr="001E57EA" w:rsidRDefault="008B567A" w:rsidP="00BF3ED5">
            <w:pPr>
              <w:pStyle w:val="TekstStrategija"/>
              <w:rPr>
                <w:sz w:val="16"/>
              </w:rPr>
            </w:pPr>
            <w:r w:rsidRPr="001E57EA">
              <w:rPr>
                <w:sz w:val="16"/>
              </w:rPr>
              <w:t>Izvor</w:t>
            </w:r>
          </w:p>
        </w:tc>
        <w:tc>
          <w:tcPr>
            <w:tcW w:w="1946" w:type="dxa"/>
            <w:shd w:val="clear" w:color="auto" w:fill="auto"/>
          </w:tcPr>
          <w:p w:rsidR="008B567A" w:rsidRPr="001E57EA" w:rsidRDefault="008B567A" w:rsidP="00BF3ED5">
            <w:pPr>
              <w:pStyle w:val="TekstStrategija"/>
              <w:rPr>
                <w:sz w:val="16"/>
              </w:rPr>
            </w:pPr>
            <w:r w:rsidRPr="001E57EA">
              <w:rPr>
                <w:sz w:val="16"/>
              </w:rPr>
              <w:t>Polazna vrijednost</w:t>
            </w:r>
          </w:p>
        </w:tc>
        <w:tc>
          <w:tcPr>
            <w:tcW w:w="0" w:type="auto"/>
            <w:shd w:val="clear" w:color="auto" w:fill="auto"/>
          </w:tcPr>
          <w:p w:rsidR="008B567A" w:rsidRPr="001E57EA" w:rsidRDefault="008B567A" w:rsidP="00BF3ED5">
            <w:pPr>
              <w:pStyle w:val="TekstStrategija"/>
              <w:rPr>
                <w:sz w:val="16"/>
              </w:rPr>
            </w:pPr>
            <w:r w:rsidRPr="001E57EA">
              <w:rPr>
                <w:sz w:val="16"/>
              </w:rPr>
              <w:t>Ciljana vrijednost</w:t>
            </w:r>
          </w:p>
        </w:tc>
      </w:tr>
      <w:tr w:rsidR="001E57EA" w:rsidRPr="001E57EA" w:rsidTr="00921AC6">
        <w:tc>
          <w:tcPr>
            <w:tcW w:w="4390"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izvještaja o počinjenom krivičnom djelu u odnosu na broj prijava</w:t>
            </w:r>
          </w:p>
        </w:tc>
        <w:tc>
          <w:tcPr>
            <w:tcW w:w="1228"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xml:space="preserve">Kantonalni </w:t>
            </w:r>
            <w:r w:rsidR="00501E50" w:rsidRPr="001E57EA">
              <w:rPr>
                <w:rFonts w:ascii="Arial" w:hAnsi="Arial" w:cs="Arial"/>
                <w:color w:val="auto"/>
                <w:sz w:val="16"/>
                <w:szCs w:val="16"/>
              </w:rPr>
              <w:t>MUP</w:t>
            </w:r>
            <w:r w:rsidRPr="001E57EA">
              <w:rPr>
                <w:rFonts w:ascii="Arial" w:hAnsi="Arial" w:cs="Arial"/>
                <w:color w:val="auto"/>
                <w:sz w:val="16"/>
                <w:szCs w:val="16"/>
              </w:rPr>
              <w:t>-ovi</w:t>
            </w:r>
          </w:p>
        </w:tc>
        <w:tc>
          <w:tcPr>
            <w:tcW w:w="1946"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51%</w:t>
            </w:r>
            <w:r w:rsidR="00294952" w:rsidRPr="001E57EA">
              <w:rPr>
                <w:rFonts w:ascii="Arial" w:hAnsi="Arial" w:cs="Arial"/>
                <w:color w:val="auto"/>
                <w:sz w:val="16"/>
                <w:szCs w:val="16"/>
              </w:rPr>
              <w:t xml:space="preserve"> (2019)</w:t>
            </w:r>
          </w:p>
        </w:tc>
        <w:tc>
          <w:tcPr>
            <w:tcW w:w="0" w:type="auto"/>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90%</w:t>
            </w:r>
            <w:r w:rsidR="00294952" w:rsidRPr="001E57EA">
              <w:rPr>
                <w:rFonts w:ascii="Arial" w:hAnsi="Arial" w:cs="Arial"/>
                <w:color w:val="auto"/>
                <w:sz w:val="16"/>
                <w:szCs w:val="16"/>
              </w:rPr>
              <w:t xml:space="preserve"> (2027)</w:t>
            </w:r>
          </w:p>
        </w:tc>
      </w:tr>
      <w:tr w:rsidR="001E57EA" w:rsidRPr="001E57EA" w:rsidTr="00921AC6">
        <w:tc>
          <w:tcPr>
            <w:tcW w:w="4390"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zahtjeva za izricanjem zaštitnih mjera u odnosu na broj prijava</w:t>
            </w:r>
          </w:p>
        </w:tc>
        <w:tc>
          <w:tcPr>
            <w:tcW w:w="1228"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xml:space="preserve">Kantonalni </w:t>
            </w:r>
            <w:r w:rsidR="00501E50" w:rsidRPr="001E57EA">
              <w:rPr>
                <w:rFonts w:ascii="Arial" w:hAnsi="Arial" w:cs="Arial"/>
                <w:color w:val="auto"/>
                <w:sz w:val="16"/>
                <w:szCs w:val="16"/>
              </w:rPr>
              <w:t>MUP</w:t>
            </w:r>
            <w:r w:rsidRPr="001E57EA">
              <w:rPr>
                <w:rFonts w:ascii="Arial" w:hAnsi="Arial" w:cs="Arial"/>
                <w:color w:val="auto"/>
                <w:sz w:val="16"/>
                <w:szCs w:val="16"/>
              </w:rPr>
              <w:t>-ovi</w:t>
            </w:r>
          </w:p>
        </w:tc>
        <w:tc>
          <w:tcPr>
            <w:tcW w:w="1946"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26%</w:t>
            </w:r>
            <w:r w:rsidR="00294952" w:rsidRPr="001E57EA">
              <w:rPr>
                <w:rFonts w:ascii="Arial" w:hAnsi="Arial" w:cs="Arial"/>
                <w:color w:val="auto"/>
                <w:sz w:val="16"/>
                <w:szCs w:val="16"/>
              </w:rPr>
              <w:t xml:space="preserve"> (2019)</w:t>
            </w:r>
          </w:p>
        </w:tc>
        <w:tc>
          <w:tcPr>
            <w:tcW w:w="0" w:type="auto"/>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100%</w:t>
            </w:r>
            <w:r w:rsidR="00294952" w:rsidRPr="001E57EA">
              <w:rPr>
                <w:rFonts w:ascii="Arial" w:hAnsi="Arial" w:cs="Arial"/>
                <w:color w:val="auto"/>
                <w:sz w:val="16"/>
                <w:szCs w:val="16"/>
              </w:rPr>
              <w:t xml:space="preserve"> (2027)</w:t>
            </w:r>
          </w:p>
        </w:tc>
      </w:tr>
      <w:tr w:rsidR="001E57EA" w:rsidRPr="001E57EA" w:rsidTr="00921AC6">
        <w:tc>
          <w:tcPr>
            <w:tcW w:w="4390"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 izrečeni</w:t>
            </w:r>
            <w:r w:rsidR="00F37081" w:rsidRPr="001E57EA">
              <w:rPr>
                <w:rFonts w:ascii="Arial" w:hAnsi="Arial" w:cs="Arial"/>
                <w:color w:val="auto"/>
                <w:sz w:val="16"/>
                <w:szCs w:val="16"/>
              </w:rPr>
              <w:t>h sankcija u odnosu na broj pod</w:t>
            </w:r>
            <w:r w:rsidRPr="001E57EA">
              <w:rPr>
                <w:rFonts w:ascii="Arial" w:hAnsi="Arial" w:cs="Arial"/>
                <w:color w:val="auto"/>
                <w:sz w:val="16"/>
                <w:szCs w:val="16"/>
              </w:rPr>
              <w:t>n</w:t>
            </w:r>
            <w:r w:rsidR="00F37081" w:rsidRPr="001E57EA">
              <w:rPr>
                <w:rFonts w:ascii="Arial" w:hAnsi="Arial" w:cs="Arial"/>
                <w:color w:val="auto"/>
                <w:sz w:val="16"/>
                <w:szCs w:val="16"/>
              </w:rPr>
              <w:t>e</w:t>
            </w:r>
            <w:r w:rsidRPr="001E57EA">
              <w:rPr>
                <w:rFonts w:ascii="Arial" w:hAnsi="Arial" w:cs="Arial"/>
                <w:color w:val="auto"/>
                <w:sz w:val="16"/>
                <w:szCs w:val="16"/>
              </w:rPr>
              <w:t>senih izvještaja o počinjenom krivičnom djelu</w:t>
            </w:r>
          </w:p>
        </w:tc>
        <w:tc>
          <w:tcPr>
            <w:tcW w:w="1228" w:type="dxa"/>
            <w:shd w:val="clear" w:color="auto" w:fill="auto"/>
          </w:tcPr>
          <w:p w:rsidR="008B567A" w:rsidRPr="001E57EA" w:rsidRDefault="007D71C6" w:rsidP="008B567A">
            <w:pPr>
              <w:pStyle w:val="Default"/>
              <w:rPr>
                <w:rFonts w:ascii="Arial" w:hAnsi="Arial" w:cs="Arial"/>
                <w:color w:val="auto"/>
                <w:sz w:val="16"/>
                <w:szCs w:val="16"/>
              </w:rPr>
            </w:pPr>
            <w:r w:rsidRPr="001E57EA">
              <w:rPr>
                <w:rFonts w:ascii="Arial" w:hAnsi="Arial" w:cs="Arial"/>
                <w:color w:val="auto"/>
                <w:sz w:val="16"/>
                <w:szCs w:val="16"/>
              </w:rPr>
              <w:t>VSTV</w:t>
            </w:r>
          </w:p>
        </w:tc>
        <w:tc>
          <w:tcPr>
            <w:tcW w:w="1946" w:type="dxa"/>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75%</w:t>
            </w:r>
            <w:r w:rsidR="00294952" w:rsidRPr="001E57EA">
              <w:rPr>
                <w:rFonts w:ascii="Arial" w:hAnsi="Arial" w:cs="Arial"/>
                <w:color w:val="auto"/>
                <w:sz w:val="16"/>
                <w:szCs w:val="16"/>
              </w:rPr>
              <w:t xml:space="preserve"> (2019)</w:t>
            </w:r>
          </w:p>
          <w:p w:rsidR="00BF3ED5" w:rsidRPr="001E57EA" w:rsidRDefault="006E415F" w:rsidP="008B567A">
            <w:pPr>
              <w:pStyle w:val="Default"/>
              <w:rPr>
                <w:rFonts w:ascii="Arial" w:hAnsi="Arial" w:cs="Arial"/>
                <w:color w:val="auto"/>
                <w:sz w:val="16"/>
                <w:szCs w:val="16"/>
              </w:rPr>
            </w:pPr>
            <w:r w:rsidRPr="001E57EA">
              <w:rPr>
                <w:rFonts w:ascii="Arial" w:hAnsi="Arial" w:cs="Arial"/>
                <w:color w:val="auto"/>
                <w:sz w:val="16"/>
                <w:szCs w:val="16"/>
              </w:rPr>
              <w:t>33</w:t>
            </w:r>
            <w:r w:rsidR="00BF3ED5" w:rsidRPr="001E57EA">
              <w:rPr>
                <w:rFonts w:ascii="Arial" w:hAnsi="Arial" w:cs="Arial"/>
                <w:color w:val="auto"/>
                <w:sz w:val="16"/>
                <w:szCs w:val="16"/>
              </w:rPr>
              <w:t>%</w:t>
            </w:r>
            <w:r w:rsidRPr="001E57EA">
              <w:rPr>
                <w:rFonts w:ascii="Arial" w:hAnsi="Arial" w:cs="Arial"/>
                <w:color w:val="auto"/>
                <w:sz w:val="16"/>
                <w:szCs w:val="16"/>
              </w:rPr>
              <w:t xml:space="preserve"> </w:t>
            </w:r>
            <w:r w:rsidR="00BF3ED5" w:rsidRPr="001E57EA">
              <w:rPr>
                <w:rFonts w:ascii="Arial" w:hAnsi="Arial" w:cs="Arial"/>
                <w:color w:val="auto"/>
                <w:sz w:val="16"/>
                <w:szCs w:val="16"/>
              </w:rPr>
              <w:t>(2020)</w:t>
            </w:r>
          </w:p>
        </w:tc>
        <w:tc>
          <w:tcPr>
            <w:tcW w:w="0" w:type="auto"/>
            <w:shd w:val="clear" w:color="auto" w:fill="auto"/>
          </w:tcPr>
          <w:p w:rsidR="008B567A" w:rsidRPr="001E57EA" w:rsidRDefault="008B567A" w:rsidP="008B567A">
            <w:pPr>
              <w:pStyle w:val="Default"/>
              <w:rPr>
                <w:rFonts w:ascii="Arial" w:hAnsi="Arial" w:cs="Arial"/>
                <w:color w:val="auto"/>
                <w:sz w:val="16"/>
                <w:szCs w:val="16"/>
              </w:rPr>
            </w:pPr>
            <w:r w:rsidRPr="001E57EA">
              <w:rPr>
                <w:rFonts w:ascii="Arial" w:hAnsi="Arial" w:cs="Arial"/>
                <w:color w:val="auto"/>
                <w:sz w:val="16"/>
                <w:szCs w:val="16"/>
              </w:rPr>
              <w:t>90%</w:t>
            </w:r>
            <w:r w:rsidR="00294952" w:rsidRPr="001E57EA">
              <w:rPr>
                <w:rFonts w:ascii="Arial" w:hAnsi="Arial" w:cs="Arial"/>
                <w:color w:val="auto"/>
                <w:sz w:val="16"/>
                <w:szCs w:val="16"/>
              </w:rPr>
              <w:t xml:space="preserve"> (2027)</w:t>
            </w:r>
          </w:p>
        </w:tc>
      </w:tr>
      <w:tr w:rsidR="001E57EA" w:rsidRPr="001E57EA" w:rsidTr="00921AC6">
        <w:tc>
          <w:tcPr>
            <w:tcW w:w="4390" w:type="dxa"/>
            <w:shd w:val="clear" w:color="auto" w:fill="auto"/>
          </w:tcPr>
          <w:p w:rsidR="00315078" w:rsidRPr="001E57EA" w:rsidRDefault="00315078" w:rsidP="00315078">
            <w:pPr>
              <w:pStyle w:val="Default"/>
              <w:rPr>
                <w:rFonts w:ascii="Arial" w:hAnsi="Arial" w:cs="Arial"/>
                <w:color w:val="auto"/>
                <w:sz w:val="16"/>
                <w:szCs w:val="16"/>
              </w:rPr>
            </w:pPr>
            <w:r w:rsidRPr="001E57EA">
              <w:rPr>
                <w:rFonts w:ascii="Arial" w:hAnsi="Arial" w:cs="Arial"/>
                <w:color w:val="auto"/>
                <w:sz w:val="16"/>
                <w:szCs w:val="16"/>
              </w:rPr>
              <w:t xml:space="preserve">% izrečenih </w:t>
            </w:r>
            <w:r w:rsidR="00064FB0" w:rsidRPr="001E57EA">
              <w:rPr>
                <w:rFonts w:ascii="Arial" w:hAnsi="Arial" w:cs="Arial"/>
                <w:color w:val="auto"/>
                <w:sz w:val="16"/>
                <w:szCs w:val="16"/>
              </w:rPr>
              <w:t>uvjet</w:t>
            </w:r>
            <w:r w:rsidRPr="001E57EA">
              <w:rPr>
                <w:rFonts w:ascii="Arial" w:hAnsi="Arial" w:cs="Arial"/>
                <w:color w:val="auto"/>
                <w:sz w:val="16"/>
                <w:szCs w:val="16"/>
              </w:rPr>
              <w:t>nih presuda</w:t>
            </w:r>
          </w:p>
        </w:tc>
        <w:tc>
          <w:tcPr>
            <w:tcW w:w="1228" w:type="dxa"/>
            <w:shd w:val="clear" w:color="auto" w:fill="auto"/>
          </w:tcPr>
          <w:p w:rsidR="00315078" w:rsidRPr="001E57EA" w:rsidRDefault="007D71C6" w:rsidP="00315078">
            <w:pPr>
              <w:pStyle w:val="Default"/>
              <w:rPr>
                <w:rFonts w:ascii="Arial" w:hAnsi="Arial" w:cs="Arial"/>
                <w:color w:val="auto"/>
                <w:sz w:val="16"/>
                <w:szCs w:val="16"/>
              </w:rPr>
            </w:pPr>
            <w:r w:rsidRPr="001E57EA">
              <w:rPr>
                <w:rFonts w:ascii="Arial" w:hAnsi="Arial" w:cs="Arial"/>
                <w:color w:val="auto"/>
                <w:sz w:val="16"/>
                <w:szCs w:val="16"/>
              </w:rPr>
              <w:t>VSTV</w:t>
            </w:r>
          </w:p>
        </w:tc>
        <w:tc>
          <w:tcPr>
            <w:tcW w:w="1946" w:type="dxa"/>
            <w:shd w:val="clear" w:color="auto" w:fill="auto"/>
          </w:tcPr>
          <w:p w:rsidR="00315078" w:rsidRPr="001E57EA" w:rsidRDefault="00315078" w:rsidP="00315078">
            <w:pPr>
              <w:pStyle w:val="Default"/>
              <w:rPr>
                <w:rFonts w:ascii="Arial" w:hAnsi="Arial" w:cs="Arial"/>
                <w:color w:val="auto"/>
                <w:sz w:val="16"/>
                <w:szCs w:val="16"/>
              </w:rPr>
            </w:pPr>
            <w:r w:rsidRPr="001E57EA">
              <w:rPr>
                <w:rFonts w:ascii="Arial" w:hAnsi="Arial" w:cs="Arial"/>
                <w:color w:val="auto"/>
                <w:sz w:val="16"/>
                <w:szCs w:val="16"/>
              </w:rPr>
              <w:t>72% (2019)</w:t>
            </w:r>
          </w:p>
          <w:p w:rsidR="00BF3ED5" w:rsidRPr="001E57EA" w:rsidRDefault="00BF3ED5" w:rsidP="00315078">
            <w:pPr>
              <w:pStyle w:val="Default"/>
              <w:rPr>
                <w:rFonts w:ascii="Arial" w:hAnsi="Arial" w:cs="Arial"/>
                <w:color w:val="auto"/>
                <w:sz w:val="16"/>
                <w:szCs w:val="16"/>
              </w:rPr>
            </w:pPr>
            <w:r w:rsidRPr="001E57EA">
              <w:rPr>
                <w:rFonts w:ascii="Arial" w:hAnsi="Arial" w:cs="Arial"/>
                <w:color w:val="auto"/>
                <w:sz w:val="16"/>
                <w:szCs w:val="16"/>
              </w:rPr>
              <w:t>75% (2020)</w:t>
            </w:r>
          </w:p>
        </w:tc>
        <w:tc>
          <w:tcPr>
            <w:tcW w:w="0" w:type="auto"/>
            <w:shd w:val="clear" w:color="auto" w:fill="auto"/>
          </w:tcPr>
          <w:p w:rsidR="00315078" w:rsidRPr="001E57EA" w:rsidRDefault="00746C8F" w:rsidP="00746C8F">
            <w:pPr>
              <w:pStyle w:val="Default"/>
              <w:rPr>
                <w:rFonts w:ascii="Arial" w:hAnsi="Arial" w:cs="Arial"/>
                <w:color w:val="auto"/>
                <w:sz w:val="16"/>
                <w:szCs w:val="16"/>
              </w:rPr>
            </w:pPr>
            <w:r w:rsidRPr="001E57EA">
              <w:rPr>
                <w:rFonts w:ascii="Arial" w:hAnsi="Arial" w:cs="Arial"/>
                <w:color w:val="auto"/>
                <w:sz w:val="16"/>
                <w:szCs w:val="16"/>
              </w:rPr>
              <w:t xml:space="preserve">30% </w:t>
            </w:r>
            <w:r w:rsidR="00315078" w:rsidRPr="001E57EA">
              <w:rPr>
                <w:rFonts w:ascii="Arial" w:hAnsi="Arial" w:cs="Arial"/>
                <w:color w:val="auto"/>
                <w:sz w:val="16"/>
                <w:szCs w:val="16"/>
              </w:rPr>
              <w:t>(2027)</w:t>
            </w:r>
          </w:p>
        </w:tc>
      </w:tr>
    </w:tbl>
    <w:p w:rsidR="001F65A1" w:rsidRPr="001E57EA" w:rsidRDefault="001F65A1" w:rsidP="000A55A4">
      <w:pPr>
        <w:pStyle w:val="3naslov"/>
        <w:rPr>
          <w:rFonts w:cs="Arial"/>
          <w:lang w:val="bs-Latn-BA"/>
        </w:rPr>
      </w:pPr>
      <w:bookmarkStart w:id="31" w:name="_Toc145323827"/>
      <w:r w:rsidRPr="001E57EA">
        <w:rPr>
          <w:rFonts w:cs="Arial"/>
          <w:lang w:val="bs-Latn-BA"/>
        </w:rPr>
        <w:t xml:space="preserve">Mjera: </w:t>
      </w:r>
      <w:r w:rsidR="00EB5EE9" w:rsidRPr="001E57EA">
        <w:rPr>
          <w:rFonts w:cs="Arial"/>
          <w:lang w:val="bs-Latn-BA"/>
        </w:rPr>
        <w:t>Poboljšati</w:t>
      </w:r>
      <w:r w:rsidR="0032692B" w:rsidRPr="001E57EA">
        <w:rPr>
          <w:rFonts w:cs="Arial"/>
          <w:lang w:val="bs-Latn-BA"/>
        </w:rPr>
        <w:t xml:space="preserve"> </w:t>
      </w:r>
      <w:r w:rsidR="00064FB0" w:rsidRPr="001E57EA">
        <w:rPr>
          <w:rFonts w:cs="Arial"/>
          <w:lang w:val="bs-Latn-BA"/>
        </w:rPr>
        <w:t>uvjet</w:t>
      </w:r>
      <w:r w:rsidR="009C2517" w:rsidRPr="001E57EA">
        <w:rPr>
          <w:rFonts w:cs="Arial"/>
          <w:lang w:val="bs-Latn-BA"/>
        </w:rPr>
        <w:t>e</w:t>
      </w:r>
      <w:r w:rsidR="0032692B" w:rsidRPr="001E57EA">
        <w:rPr>
          <w:rFonts w:cs="Arial"/>
          <w:lang w:val="bs-Latn-BA"/>
        </w:rPr>
        <w:t xml:space="preserve"> za</w:t>
      </w:r>
      <w:r w:rsidR="00190611" w:rsidRPr="001E57EA">
        <w:rPr>
          <w:rFonts w:cs="Arial"/>
          <w:lang w:val="bs-Latn-BA"/>
        </w:rPr>
        <w:t xml:space="preserve"> žrt</w:t>
      </w:r>
      <w:r w:rsidRPr="001E57EA">
        <w:rPr>
          <w:rFonts w:cs="Arial"/>
          <w:lang w:val="bs-Latn-BA"/>
        </w:rPr>
        <w:t>v</w:t>
      </w:r>
      <w:r w:rsidR="0032692B" w:rsidRPr="001E57EA">
        <w:rPr>
          <w:rFonts w:cs="Arial"/>
          <w:lang w:val="bs-Latn-BA"/>
        </w:rPr>
        <w:t>e</w:t>
      </w:r>
      <w:r w:rsidR="00F37081" w:rsidRPr="001E57EA">
        <w:rPr>
          <w:rFonts w:cs="Arial"/>
          <w:lang w:val="bs-Latn-BA"/>
        </w:rPr>
        <w:t xml:space="preserve"> nasilja</w:t>
      </w:r>
      <w:r w:rsidR="007B22EB" w:rsidRPr="001E57EA">
        <w:rPr>
          <w:rFonts w:cs="Arial"/>
          <w:lang w:val="bs-Latn-BA"/>
        </w:rPr>
        <w:t>, djec</w:t>
      </w:r>
      <w:r w:rsidR="0032692B" w:rsidRPr="001E57EA">
        <w:rPr>
          <w:rFonts w:cs="Arial"/>
          <w:lang w:val="bs-Latn-BA"/>
        </w:rPr>
        <w:t>u</w:t>
      </w:r>
      <w:r w:rsidR="007B22EB" w:rsidRPr="001E57EA">
        <w:rPr>
          <w:rFonts w:cs="Arial"/>
          <w:lang w:val="bs-Latn-BA"/>
        </w:rPr>
        <w:t xml:space="preserve"> žrtava i svjedok</w:t>
      </w:r>
      <w:r w:rsidR="00190611" w:rsidRPr="001E57EA">
        <w:rPr>
          <w:rFonts w:cs="Arial"/>
          <w:lang w:val="bs-Latn-BA"/>
        </w:rPr>
        <w:t>e</w:t>
      </w:r>
      <w:r w:rsidR="00294952" w:rsidRPr="001E57EA">
        <w:rPr>
          <w:rFonts w:cs="Arial"/>
          <w:lang w:val="bs-Latn-BA"/>
        </w:rPr>
        <w:t xml:space="preserve"> to</w:t>
      </w:r>
      <w:r w:rsidR="0032692B" w:rsidRPr="001E57EA">
        <w:rPr>
          <w:rFonts w:cs="Arial"/>
          <w:lang w:val="bs-Latn-BA"/>
        </w:rPr>
        <w:t>kom istražnih i pravosudnih radnji</w:t>
      </w:r>
      <w:bookmarkEnd w:id="31"/>
    </w:p>
    <w:p w:rsidR="004E72C6" w:rsidRPr="001E57EA" w:rsidRDefault="00125064" w:rsidP="00BF3ED5">
      <w:pPr>
        <w:pStyle w:val="TekstStrategija"/>
      </w:pPr>
      <w:r w:rsidRPr="001E57EA">
        <w:t>U toku provođenja istražni</w:t>
      </w:r>
      <w:r w:rsidR="00501E50" w:rsidRPr="001E57EA">
        <w:t>h</w:t>
      </w:r>
      <w:r w:rsidRPr="001E57EA">
        <w:t xml:space="preserve"> i pravosudnih radnji potrebno je osigurati primjenu standarda kojim će se pružiti adekvatna pomoć žrtvama, te osigurati pristup informacijama o pravima žrtava i odgovarajući</w:t>
      </w:r>
      <w:r w:rsidR="00302124" w:rsidRPr="001E57EA">
        <w:t>m službama podrške koje će im</w:t>
      </w:r>
      <w:r w:rsidRPr="001E57EA">
        <w:t xml:space="preserve"> pomoći da nj</w:t>
      </w:r>
      <w:r w:rsidR="00302124" w:rsidRPr="001E57EA">
        <w:t>ihova</w:t>
      </w:r>
      <w:r w:rsidRPr="001E57EA">
        <w:t xml:space="preserve"> prava i interesi budu predstavljeni. Žrtve nasilja i njihove porodice </w:t>
      </w:r>
      <w:r w:rsidR="00302124" w:rsidRPr="001E57EA">
        <w:t xml:space="preserve">trebaju biti </w:t>
      </w:r>
      <w:r w:rsidRPr="001E57EA">
        <w:t>zaštićene u svim fazama istrage i sudskog postupka od zastrašivanja, odmazde i ponovljene viktimizacije</w:t>
      </w:r>
      <w:r w:rsidR="00302124" w:rsidRPr="001E57EA">
        <w:t>, uz</w:t>
      </w:r>
      <w:r w:rsidRPr="001E57EA">
        <w:t xml:space="preserve"> zaštitu privatnosti</w:t>
      </w:r>
      <w:r w:rsidR="00D73943" w:rsidRPr="001E57EA">
        <w:t xml:space="preserve">. U svim fazama istrage i sudskog postupka osigurati poštivanje žrtve i uzdržavanje od stavova, ponašanja i praksi kojima </w:t>
      </w:r>
      <w:r w:rsidR="00302124" w:rsidRPr="001E57EA">
        <w:t>im se nanosi</w:t>
      </w:r>
      <w:r w:rsidR="00D73943" w:rsidRPr="001E57EA">
        <w:t xml:space="preserve"> dodatna bol. </w:t>
      </w:r>
      <w:r w:rsidR="00302124" w:rsidRPr="001E57EA">
        <w:t>Žrtvama treba biti omogućeno da neposredno ili preko posrednika pruže dokaze i predstave svoje potrebe, te po mogućnosti izbjegnu susret žrtve i počinioca nasilja. Potrebno je omogućiti da žrtva nasilja iznese svoj iskaz pred sudom, da sv</w:t>
      </w:r>
      <w:r w:rsidR="00E81F1A" w:rsidRPr="001E57EA">
        <w:t>j</w:t>
      </w:r>
      <w:r w:rsidR="00302124" w:rsidRPr="001E57EA">
        <w:t>edoče</w:t>
      </w:r>
      <w:r w:rsidR="00D43092" w:rsidRPr="001E57EA">
        <w:t>nje</w:t>
      </w:r>
      <w:r w:rsidR="00302124" w:rsidRPr="001E57EA">
        <w:t xml:space="preserve"> u sudnici bude bez prisustv</w:t>
      </w:r>
      <w:r w:rsidR="00D43092" w:rsidRPr="001E57EA">
        <w:t xml:space="preserve">a počinioca nasilja u porodici i/ili </w:t>
      </w:r>
      <w:r w:rsidR="00302124" w:rsidRPr="001E57EA">
        <w:t xml:space="preserve">uz korišćenje odgovarajućih komunikacionih tehnologija. </w:t>
      </w:r>
      <w:r w:rsidR="00D43092" w:rsidRPr="001E57EA">
        <w:t>Također, važno je o</w:t>
      </w:r>
      <w:r w:rsidR="00302124" w:rsidRPr="001E57EA">
        <w:t>sigurati mehanizam procjene rizika u saradnji sa svim relevantnim subjektima, uzimajući u obzir ponavljanje djela i pristup vatrenom oružju, kao i nove informacije koje mogu biti otkrivene u istrazi</w:t>
      </w:r>
      <w:r w:rsidR="00D43092" w:rsidRPr="001E57EA">
        <w:t>, te osigurati mehanizam obavještavanja žrtve o svakom bjekstvu ili otpustu počinioca na slobodu.</w:t>
      </w:r>
      <w:r w:rsidR="00C34E25" w:rsidRPr="001E57EA">
        <w:t xml:space="preserve"> Osim navedenog, potrebno je uspostaviti odjele za podršku svjedocima pri općinskim i kantonalnim sudovima i kantonalnim tužilaštvima.</w:t>
      </w:r>
    </w:p>
    <w:p w:rsidR="002C41AE" w:rsidRPr="001E57EA" w:rsidRDefault="002C41AE"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6"/>
        <w:gridCol w:w="1524"/>
        <w:gridCol w:w="1435"/>
      </w:tblGrid>
      <w:tr w:rsidR="001E57EA" w:rsidRPr="001E57EA" w:rsidTr="00921AC6">
        <w:tc>
          <w:tcPr>
            <w:tcW w:w="4390" w:type="dxa"/>
            <w:shd w:val="clear" w:color="auto" w:fill="auto"/>
          </w:tcPr>
          <w:p w:rsidR="008B567A" w:rsidRPr="001E57EA" w:rsidRDefault="008B567A" w:rsidP="00BF3ED5">
            <w:pPr>
              <w:pStyle w:val="TekstStrategija"/>
              <w:rPr>
                <w:sz w:val="16"/>
              </w:rPr>
            </w:pPr>
            <w:r w:rsidRPr="001E57EA">
              <w:rPr>
                <w:sz w:val="16"/>
              </w:rPr>
              <w:t>Indikator na nivou mjere</w:t>
            </w:r>
          </w:p>
        </w:tc>
        <w:tc>
          <w:tcPr>
            <w:tcW w:w="1556" w:type="dxa"/>
            <w:shd w:val="clear" w:color="auto" w:fill="auto"/>
          </w:tcPr>
          <w:p w:rsidR="008B567A" w:rsidRPr="001E57EA" w:rsidRDefault="008B567A" w:rsidP="00BF3ED5">
            <w:pPr>
              <w:pStyle w:val="TekstStrategija"/>
              <w:rPr>
                <w:sz w:val="16"/>
              </w:rPr>
            </w:pPr>
            <w:r w:rsidRPr="001E57EA">
              <w:rPr>
                <w:sz w:val="16"/>
              </w:rPr>
              <w:t>Izvor</w:t>
            </w:r>
          </w:p>
        </w:tc>
        <w:tc>
          <w:tcPr>
            <w:tcW w:w="0" w:type="auto"/>
            <w:shd w:val="clear" w:color="auto" w:fill="auto"/>
          </w:tcPr>
          <w:p w:rsidR="008B567A" w:rsidRPr="001E57EA" w:rsidRDefault="008B567A" w:rsidP="00BF3ED5">
            <w:pPr>
              <w:pStyle w:val="TekstStrategija"/>
              <w:rPr>
                <w:sz w:val="16"/>
              </w:rPr>
            </w:pPr>
            <w:r w:rsidRPr="001E57EA">
              <w:rPr>
                <w:sz w:val="16"/>
              </w:rPr>
              <w:t>Polazna vrijednost</w:t>
            </w:r>
          </w:p>
        </w:tc>
        <w:tc>
          <w:tcPr>
            <w:tcW w:w="0" w:type="auto"/>
            <w:shd w:val="clear" w:color="auto" w:fill="auto"/>
          </w:tcPr>
          <w:p w:rsidR="008B567A" w:rsidRPr="001E57EA" w:rsidRDefault="008B567A" w:rsidP="00BF3ED5">
            <w:pPr>
              <w:pStyle w:val="TekstStrategija"/>
              <w:rPr>
                <w:sz w:val="16"/>
              </w:rPr>
            </w:pPr>
            <w:r w:rsidRPr="001E57EA">
              <w:rPr>
                <w:sz w:val="16"/>
              </w:rPr>
              <w:t>Ciljana vrijednost</w:t>
            </w:r>
          </w:p>
        </w:tc>
      </w:tr>
      <w:tr w:rsidR="001E57EA" w:rsidRPr="001E57EA" w:rsidTr="00921AC6">
        <w:tc>
          <w:tcPr>
            <w:tcW w:w="4390" w:type="dxa"/>
            <w:shd w:val="clear" w:color="auto" w:fill="auto"/>
          </w:tcPr>
          <w:p w:rsidR="00D73943" w:rsidRPr="001E57EA" w:rsidRDefault="00D73943" w:rsidP="00BF3ED5">
            <w:pPr>
              <w:pStyle w:val="TekstStrategija"/>
              <w:rPr>
                <w:sz w:val="16"/>
              </w:rPr>
            </w:pPr>
            <w:r w:rsidRPr="001E57EA">
              <w:rPr>
                <w:sz w:val="16"/>
              </w:rPr>
              <w:t>% slučajeva u kojima su djeca prepoznata kao žrtve štićene zaštitnom mjerom</w:t>
            </w:r>
          </w:p>
        </w:tc>
        <w:tc>
          <w:tcPr>
            <w:tcW w:w="1556" w:type="dxa"/>
            <w:shd w:val="clear" w:color="auto" w:fill="auto"/>
          </w:tcPr>
          <w:p w:rsidR="00D73943" w:rsidRPr="001E57EA" w:rsidRDefault="00D73943" w:rsidP="00BF3ED5">
            <w:pPr>
              <w:pStyle w:val="TekstStrategija"/>
              <w:rPr>
                <w:sz w:val="16"/>
              </w:rPr>
            </w:pPr>
            <w:r w:rsidRPr="001E57EA">
              <w:rPr>
                <w:sz w:val="16"/>
              </w:rPr>
              <w:t>Istraživanje BHEVAL</w:t>
            </w:r>
          </w:p>
        </w:tc>
        <w:tc>
          <w:tcPr>
            <w:tcW w:w="0" w:type="auto"/>
            <w:shd w:val="clear" w:color="auto" w:fill="auto"/>
          </w:tcPr>
          <w:p w:rsidR="00D73943" w:rsidRPr="001E57EA" w:rsidRDefault="00D73943" w:rsidP="00BF3ED5">
            <w:pPr>
              <w:pStyle w:val="TekstStrategija"/>
              <w:rPr>
                <w:sz w:val="16"/>
              </w:rPr>
            </w:pPr>
            <w:r w:rsidRPr="001E57EA">
              <w:rPr>
                <w:sz w:val="16"/>
              </w:rPr>
              <w:t>11,43% (2018)</w:t>
            </w:r>
          </w:p>
        </w:tc>
        <w:tc>
          <w:tcPr>
            <w:tcW w:w="0" w:type="auto"/>
            <w:shd w:val="clear" w:color="auto" w:fill="auto"/>
          </w:tcPr>
          <w:p w:rsidR="00D73943" w:rsidRPr="001E57EA" w:rsidRDefault="00D73943" w:rsidP="00BF3ED5">
            <w:pPr>
              <w:pStyle w:val="TekstStrategija"/>
              <w:rPr>
                <w:sz w:val="16"/>
              </w:rPr>
            </w:pPr>
            <w:r w:rsidRPr="001E57EA">
              <w:rPr>
                <w:sz w:val="16"/>
              </w:rPr>
              <w:t>80% (2027)</w:t>
            </w:r>
          </w:p>
        </w:tc>
      </w:tr>
    </w:tbl>
    <w:p w:rsidR="002641B3" w:rsidRPr="001E57EA" w:rsidRDefault="002641B3" w:rsidP="000A55A4">
      <w:pPr>
        <w:pStyle w:val="3naslov"/>
        <w:rPr>
          <w:rFonts w:cs="Arial"/>
          <w:lang w:val="bs-Latn-BA"/>
        </w:rPr>
      </w:pPr>
      <w:bookmarkStart w:id="32" w:name="_Toc145323828"/>
      <w:r w:rsidRPr="001E57EA">
        <w:rPr>
          <w:rFonts w:cs="Arial"/>
          <w:lang w:val="bs-Latn-BA"/>
        </w:rPr>
        <w:lastRenderedPageBreak/>
        <w:t xml:space="preserve">Mjera: </w:t>
      </w:r>
      <w:r w:rsidR="005D45AD" w:rsidRPr="001E57EA">
        <w:rPr>
          <w:rFonts w:cs="Arial"/>
          <w:lang w:val="bs-Latn-BA"/>
        </w:rPr>
        <w:t>Poboljšati</w:t>
      </w:r>
      <w:r w:rsidR="006A062A" w:rsidRPr="001E57EA">
        <w:rPr>
          <w:rFonts w:cs="Arial"/>
          <w:lang w:val="bs-Latn-BA"/>
        </w:rPr>
        <w:t xml:space="preserve"> </w:t>
      </w:r>
      <w:r w:rsidR="00A80C2F" w:rsidRPr="001E57EA">
        <w:rPr>
          <w:rFonts w:cs="Arial"/>
          <w:lang w:val="bs-Latn-BA"/>
        </w:rPr>
        <w:t xml:space="preserve">efikasnost </w:t>
      </w:r>
      <w:r w:rsidR="008B567A" w:rsidRPr="001E57EA">
        <w:rPr>
          <w:rFonts w:cs="Arial"/>
          <w:lang w:val="bs-Latn-BA"/>
        </w:rPr>
        <w:t>rada</w:t>
      </w:r>
      <w:r w:rsidR="006A062A" w:rsidRPr="001E57EA">
        <w:rPr>
          <w:rFonts w:cs="Arial"/>
          <w:lang w:val="bs-Latn-BA"/>
        </w:rPr>
        <w:t xml:space="preserve"> </w:t>
      </w:r>
      <w:r w:rsidR="00F37081" w:rsidRPr="001E57EA">
        <w:rPr>
          <w:rFonts w:cs="Arial"/>
          <w:lang w:val="bs-Latn-BA"/>
        </w:rPr>
        <w:t>službenih lica</w:t>
      </w:r>
      <w:r w:rsidR="006A062A" w:rsidRPr="001E57EA">
        <w:rPr>
          <w:rFonts w:cs="Arial"/>
          <w:lang w:val="bs-Latn-BA"/>
        </w:rPr>
        <w:t xml:space="preserve"> u slučajevima nas</w:t>
      </w:r>
      <w:r w:rsidR="003C364F" w:rsidRPr="001E57EA">
        <w:rPr>
          <w:rFonts w:cs="Arial"/>
          <w:lang w:val="bs-Latn-BA"/>
        </w:rPr>
        <w:t>i</w:t>
      </w:r>
      <w:r w:rsidR="006A062A" w:rsidRPr="001E57EA">
        <w:rPr>
          <w:rFonts w:cs="Arial"/>
          <w:lang w:val="bs-Latn-BA"/>
        </w:rPr>
        <w:t>lja u porodici</w:t>
      </w:r>
      <w:bookmarkEnd w:id="32"/>
    </w:p>
    <w:p w:rsidR="008F0E0F" w:rsidRPr="001E57EA" w:rsidRDefault="008F0E0F" w:rsidP="00BF3ED5">
      <w:pPr>
        <w:pStyle w:val="TekstStrategija"/>
      </w:pPr>
      <w:r w:rsidRPr="001E57EA">
        <w:t xml:space="preserve">Rad ovlaštenih službenih lica koja provode i prate provođenje zaštitnih mjera iz nadležnosti policije uređen je sistematizacijom radnih mjesta koja je različito uređena u pojedinim kantonima. S obzirom na neujednačen pristup, potrebno je kroz sistematizaciju radnih mjesta, poslove praćenja i provedbe zaštitnih mjera podići na viši nivo stručnih i osposobljenih ovlaštenih službenih lica koja bi radila efikasniju provedbu i praćenje zaštitnih mjera. </w:t>
      </w:r>
    </w:p>
    <w:p w:rsidR="00F37081" w:rsidRPr="001E57EA" w:rsidRDefault="00F37081" w:rsidP="00BF3ED5">
      <w:pPr>
        <w:pStyle w:val="TekstStrategija"/>
      </w:pPr>
      <w:r w:rsidRPr="001E57EA">
        <w:t xml:space="preserve">Efikasnost rada službenih lica unapređuje se multisektorskom saradnjom, održavanjem periodičnih sastanaka i </w:t>
      </w:r>
      <w:r w:rsidR="005920FC" w:rsidRPr="001E57EA">
        <w:t xml:space="preserve">preuzimanjem </w:t>
      </w:r>
      <w:r w:rsidRPr="001E57EA">
        <w:t xml:space="preserve">odgovornosti svake institucije i pojedinca u postupku dokazivanja nasilja u porodici i zaštite žrtve nasilja u porodici. </w:t>
      </w:r>
    </w:p>
    <w:p w:rsidR="008F0E0F" w:rsidRPr="001E57EA" w:rsidRDefault="005920FC" w:rsidP="00BF3ED5">
      <w:pPr>
        <w:pStyle w:val="TekstStrategija"/>
      </w:pPr>
      <w:r w:rsidRPr="001E57EA">
        <w:t>Nužno je da e</w:t>
      </w:r>
      <w:r w:rsidR="008F0E0F" w:rsidRPr="001E57EA">
        <w:t>dukacija službenih lica obuhvat</w:t>
      </w:r>
      <w:r w:rsidRPr="001E57EA">
        <w:t>i</w:t>
      </w:r>
      <w:r w:rsidR="008F0E0F" w:rsidRPr="001E57EA">
        <w:t xml:space="preserve"> služben</w:t>
      </w:r>
      <w:r w:rsidR="00F37081" w:rsidRPr="001E57EA">
        <w:t>a lica koja</w:t>
      </w:r>
      <w:r w:rsidR="008F0E0F" w:rsidRPr="001E57EA">
        <w:t xml:space="preserve"> izlaze na lice mjesta</w:t>
      </w:r>
      <w:r w:rsidRPr="001E57EA">
        <w:t xml:space="preserve"> (policajci)</w:t>
      </w:r>
      <w:r w:rsidR="008F0E0F" w:rsidRPr="001E57EA">
        <w:t>, vrše uviđajne radnje, prikupljaju činjenice i dokaze koji upućuju na krivično djelo nasilja</w:t>
      </w:r>
      <w:r w:rsidRPr="001E57EA">
        <w:t xml:space="preserve"> (</w:t>
      </w:r>
      <w:r w:rsidR="008F0E0F" w:rsidRPr="001E57EA">
        <w:t>krim</w:t>
      </w:r>
      <w:r w:rsidRPr="001E57EA">
        <w:t>inalistički policajci i kriminalistički</w:t>
      </w:r>
      <w:r w:rsidR="008F0E0F" w:rsidRPr="001E57EA">
        <w:t xml:space="preserve"> tehničar</w:t>
      </w:r>
      <w:r w:rsidRPr="001E57EA">
        <w:t>i)</w:t>
      </w:r>
      <w:r w:rsidR="008F0E0F" w:rsidRPr="001E57EA">
        <w:t>, službenike koji rade na provođenju i praćenju provedbe zaštitnih mjera, kao što su voditelji mjere, inspektor koji duži predmet i sl., ali i educiranje višeg nivoa koji se odnosi na šefove odjeljenja</w:t>
      </w:r>
      <w:r w:rsidRPr="001E57EA">
        <w:t xml:space="preserve"> i sektora</w:t>
      </w:r>
      <w:r w:rsidR="008F0E0F" w:rsidRPr="001E57EA">
        <w:t xml:space="preserve"> krim</w:t>
      </w:r>
      <w:r w:rsidRPr="001E57EA">
        <w:t>inalističke</w:t>
      </w:r>
      <w:r w:rsidR="008F0E0F" w:rsidRPr="001E57EA">
        <w:t xml:space="preserve"> policije, kao i sektora za edukaciju pri kantonalnim ministarstvima unutrašnjih poslova. Sistemom stručnih edukacija i certificiranja, osim policijskih službenika potrebno je obuhvatiti i sva druga lica koja se susreću sa žrtvama i počiniocima nasilja i/ili mogu pravovremeno prepoznati nasilje u porodici, odnosno osobe koje rade na poslovima koj</w:t>
      </w:r>
      <w:r w:rsidRPr="001E57EA">
        <w:t>i</w:t>
      </w:r>
      <w:r w:rsidR="008F0E0F" w:rsidRPr="001E57EA">
        <w:t xml:space="preserve"> su </w:t>
      </w:r>
      <w:r w:rsidR="0009144E" w:rsidRPr="001E57EA">
        <w:t>u vezi sa ovom tematikom.</w:t>
      </w:r>
    </w:p>
    <w:p w:rsidR="000776B1" w:rsidRPr="001E57EA" w:rsidRDefault="008F0E0F" w:rsidP="00BF3ED5">
      <w:pPr>
        <w:pStyle w:val="TekstStrategija"/>
      </w:pPr>
      <w:r w:rsidRPr="001E57EA">
        <w:t xml:space="preserve">U oblasti pravosuđa potrebno je provoditi dodatne edukacije tužilaca i sudija o postupanju u predmetima nasilja u porodici, </w:t>
      </w:r>
      <w:r w:rsidR="007B4EB1" w:rsidRPr="001E57EA">
        <w:t xml:space="preserve">naročito </w:t>
      </w:r>
      <w:r w:rsidRPr="001E57EA">
        <w:t xml:space="preserve">kada je </w:t>
      </w:r>
      <w:r w:rsidR="007B4EB1" w:rsidRPr="001E57EA">
        <w:t>riječ o</w:t>
      </w:r>
      <w:r w:rsidRPr="001E57EA">
        <w:t xml:space="preserve"> </w:t>
      </w:r>
      <w:r w:rsidR="007B4EB1" w:rsidRPr="001E57EA">
        <w:t xml:space="preserve">izricanju </w:t>
      </w:r>
      <w:r w:rsidRPr="001E57EA">
        <w:t>zaštitnih mjera, te mogućnost</w:t>
      </w:r>
      <w:r w:rsidR="007B4EB1" w:rsidRPr="001E57EA">
        <w:t>i</w:t>
      </w:r>
      <w:r w:rsidR="005920FC" w:rsidRPr="001E57EA">
        <w:t>ma</w:t>
      </w:r>
      <w:r w:rsidRPr="001E57EA">
        <w:t xml:space="preserve"> suda da ne</w:t>
      </w:r>
      <w:r w:rsidR="00F37081" w:rsidRPr="001E57EA">
        <w:t>o</w:t>
      </w:r>
      <w:r w:rsidRPr="001E57EA">
        <w:t>v</w:t>
      </w:r>
      <w:r w:rsidR="00F37081" w:rsidRPr="001E57EA">
        <w:t>i</w:t>
      </w:r>
      <w:r w:rsidRPr="001E57EA">
        <w:t>sno o prijedlogu zaštitne mjere, izrekne mjeru koja će imati najbolji efekat zaštite.</w:t>
      </w:r>
    </w:p>
    <w:p w:rsidR="005920FC" w:rsidRPr="001E57EA" w:rsidRDefault="005920FC" w:rsidP="00BF3ED5">
      <w:pPr>
        <w:pStyle w:val="TekstStrategij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6"/>
        <w:gridCol w:w="1524"/>
        <w:gridCol w:w="1435"/>
      </w:tblGrid>
      <w:tr w:rsidR="001E57EA" w:rsidRPr="001E57EA" w:rsidTr="00921AC6">
        <w:tc>
          <w:tcPr>
            <w:tcW w:w="4390" w:type="dxa"/>
            <w:shd w:val="clear" w:color="auto" w:fill="auto"/>
          </w:tcPr>
          <w:p w:rsidR="00FA4560" w:rsidRPr="001E57EA" w:rsidRDefault="00FA4560" w:rsidP="00BF3ED5">
            <w:pPr>
              <w:pStyle w:val="TekstStrategija"/>
              <w:rPr>
                <w:sz w:val="16"/>
              </w:rPr>
            </w:pPr>
            <w:r w:rsidRPr="001E57EA">
              <w:rPr>
                <w:sz w:val="16"/>
              </w:rPr>
              <w:t>Indikator na nivou mjere</w:t>
            </w:r>
          </w:p>
        </w:tc>
        <w:tc>
          <w:tcPr>
            <w:tcW w:w="1556" w:type="dxa"/>
            <w:shd w:val="clear" w:color="auto" w:fill="auto"/>
          </w:tcPr>
          <w:p w:rsidR="00FA4560" w:rsidRPr="001E57EA" w:rsidRDefault="00FA4560" w:rsidP="00BF3ED5">
            <w:pPr>
              <w:pStyle w:val="TekstStrategija"/>
              <w:rPr>
                <w:sz w:val="16"/>
              </w:rPr>
            </w:pPr>
            <w:r w:rsidRPr="001E57EA">
              <w:rPr>
                <w:sz w:val="16"/>
              </w:rPr>
              <w:t>Izvor</w:t>
            </w:r>
          </w:p>
        </w:tc>
        <w:tc>
          <w:tcPr>
            <w:tcW w:w="0" w:type="auto"/>
            <w:shd w:val="clear" w:color="auto" w:fill="auto"/>
          </w:tcPr>
          <w:p w:rsidR="00FA4560" w:rsidRPr="001E57EA" w:rsidRDefault="00FA4560" w:rsidP="00BF3ED5">
            <w:pPr>
              <w:pStyle w:val="TekstStrategija"/>
              <w:rPr>
                <w:sz w:val="16"/>
              </w:rPr>
            </w:pPr>
            <w:r w:rsidRPr="001E57EA">
              <w:rPr>
                <w:sz w:val="16"/>
              </w:rPr>
              <w:t>Polazna vrijednost</w:t>
            </w:r>
          </w:p>
        </w:tc>
        <w:tc>
          <w:tcPr>
            <w:tcW w:w="0" w:type="auto"/>
            <w:shd w:val="clear" w:color="auto" w:fill="auto"/>
          </w:tcPr>
          <w:p w:rsidR="00FA4560" w:rsidRPr="001E57EA" w:rsidRDefault="00FA4560" w:rsidP="00BF3ED5">
            <w:pPr>
              <w:pStyle w:val="TekstStrategija"/>
              <w:rPr>
                <w:sz w:val="16"/>
              </w:rPr>
            </w:pPr>
            <w:r w:rsidRPr="001E57EA">
              <w:rPr>
                <w:sz w:val="16"/>
              </w:rPr>
              <w:t>Ciljana vrijednost</w:t>
            </w:r>
          </w:p>
        </w:tc>
      </w:tr>
      <w:tr w:rsidR="001E57EA" w:rsidRPr="001E57EA" w:rsidTr="00921AC6">
        <w:tc>
          <w:tcPr>
            <w:tcW w:w="4390" w:type="dxa"/>
            <w:shd w:val="clear" w:color="auto" w:fill="auto"/>
          </w:tcPr>
          <w:p w:rsidR="00FA4560" w:rsidRPr="001E57EA" w:rsidRDefault="00FA4560" w:rsidP="00BF3ED5">
            <w:pPr>
              <w:pStyle w:val="TekstStrategija"/>
              <w:rPr>
                <w:sz w:val="16"/>
              </w:rPr>
            </w:pPr>
            <w:r w:rsidRPr="001E57EA">
              <w:rPr>
                <w:sz w:val="16"/>
              </w:rPr>
              <w:t>% slučajeva nasilja</w:t>
            </w:r>
            <w:r w:rsidR="00294952" w:rsidRPr="001E57EA">
              <w:rPr>
                <w:sz w:val="16"/>
              </w:rPr>
              <w:t xml:space="preserve"> koje žrtve ne prijavljuju</w:t>
            </w:r>
          </w:p>
        </w:tc>
        <w:tc>
          <w:tcPr>
            <w:tcW w:w="1556" w:type="dxa"/>
            <w:shd w:val="clear" w:color="auto" w:fill="auto"/>
          </w:tcPr>
          <w:p w:rsidR="00FA4560" w:rsidRPr="001E57EA" w:rsidRDefault="00FA4560" w:rsidP="00BF3ED5">
            <w:pPr>
              <w:pStyle w:val="TekstStrategija"/>
              <w:rPr>
                <w:sz w:val="16"/>
              </w:rPr>
            </w:pPr>
            <w:r w:rsidRPr="001E57EA">
              <w:rPr>
                <w:sz w:val="16"/>
              </w:rPr>
              <w:t>Istraživanje</w:t>
            </w:r>
            <w:r w:rsidR="00294952" w:rsidRPr="001E57EA">
              <w:rPr>
                <w:sz w:val="16"/>
              </w:rPr>
              <w:t xml:space="preserve"> EVAL</w:t>
            </w:r>
          </w:p>
        </w:tc>
        <w:tc>
          <w:tcPr>
            <w:tcW w:w="0" w:type="auto"/>
            <w:shd w:val="clear" w:color="auto" w:fill="auto"/>
          </w:tcPr>
          <w:p w:rsidR="00FA4560" w:rsidRPr="001E57EA" w:rsidRDefault="00294952" w:rsidP="00BF3ED5">
            <w:pPr>
              <w:pStyle w:val="TekstStrategija"/>
              <w:rPr>
                <w:sz w:val="16"/>
              </w:rPr>
            </w:pPr>
            <w:r w:rsidRPr="001E57EA">
              <w:rPr>
                <w:sz w:val="16"/>
              </w:rPr>
              <w:t>70,3</w:t>
            </w:r>
            <w:r w:rsidR="00FA4560" w:rsidRPr="001E57EA">
              <w:rPr>
                <w:sz w:val="16"/>
              </w:rPr>
              <w:t>%</w:t>
            </w:r>
            <w:r w:rsidR="00E5645F" w:rsidRPr="001E57EA">
              <w:rPr>
                <w:sz w:val="16"/>
              </w:rPr>
              <w:t xml:space="preserve"> (2018)</w:t>
            </w:r>
          </w:p>
        </w:tc>
        <w:tc>
          <w:tcPr>
            <w:tcW w:w="0" w:type="auto"/>
            <w:shd w:val="clear" w:color="auto" w:fill="auto"/>
          </w:tcPr>
          <w:p w:rsidR="00FA4560" w:rsidRPr="001E57EA" w:rsidRDefault="00E5645F" w:rsidP="00BF3ED5">
            <w:pPr>
              <w:pStyle w:val="TekstStrategija"/>
              <w:rPr>
                <w:sz w:val="16"/>
              </w:rPr>
            </w:pPr>
            <w:r w:rsidRPr="001E57EA">
              <w:rPr>
                <w:sz w:val="16"/>
              </w:rPr>
              <w:t>10% (2027)</w:t>
            </w:r>
          </w:p>
        </w:tc>
      </w:tr>
      <w:tr w:rsidR="001E57EA" w:rsidRPr="001E57EA" w:rsidTr="00921AC6">
        <w:tc>
          <w:tcPr>
            <w:tcW w:w="4390" w:type="dxa"/>
            <w:shd w:val="clear" w:color="auto" w:fill="auto"/>
          </w:tcPr>
          <w:p w:rsidR="0001513C" w:rsidRPr="001E57EA" w:rsidRDefault="0001513C" w:rsidP="00BF3ED5">
            <w:pPr>
              <w:pStyle w:val="TekstStrategija"/>
              <w:rPr>
                <w:sz w:val="16"/>
              </w:rPr>
            </w:pPr>
            <w:r w:rsidRPr="001E57EA">
              <w:rPr>
                <w:sz w:val="16"/>
              </w:rPr>
              <w:t>% educiranih sudija i tužilaca koji rade na poslovima nasilja u porodici</w:t>
            </w:r>
          </w:p>
        </w:tc>
        <w:tc>
          <w:tcPr>
            <w:tcW w:w="1556" w:type="dxa"/>
            <w:shd w:val="clear" w:color="auto" w:fill="auto"/>
          </w:tcPr>
          <w:p w:rsidR="0001513C" w:rsidRPr="001E57EA" w:rsidRDefault="0001513C" w:rsidP="00BF3ED5">
            <w:pPr>
              <w:pStyle w:val="TekstStrategija"/>
              <w:rPr>
                <w:sz w:val="16"/>
              </w:rPr>
            </w:pPr>
            <w:r w:rsidRPr="001E57EA">
              <w:rPr>
                <w:sz w:val="16"/>
              </w:rPr>
              <w:t>CEST</w:t>
            </w:r>
          </w:p>
        </w:tc>
        <w:tc>
          <w:tcPr>
            <w:tcW w:w="0" w:type="auto"/>
            <w:shd w:val="clear" w:color="auto" w:fill="auto"/>
          </w:tcPr>
          <w:p w:rsidR="0001513C" w:rsidRPr="001E57EA" w:rsidRDefault="0001513C" w:rsidP="00BF3ED5">
            <w:pPr>
              <w:pStyle w:val="TekstStrategija"/>
              <w:rPr>
                <w:sz w:val="16"/>
              </w:rPr>
            </w:pPr>
            <w:r w:rsidRPr="001E57EA">
              <w:rPr>
                <w:sz w:val="16"/>
              </w:rPr>
              <w:t>Nema podataka</w:t>
            </w:r>
          </w:p>
        </w:tc>
        <w:tc>
          <w:tcPr>
            <w:tcW w:w="0" w:type="auto"/>
            <w:shd w:val="clear" w:color="auto" w:fill="auto"/>
          </w:tcPr>
          <w:p w:rsidR="0001513C" w:rsidRPr="001E57EA" w:rsidRDefault="004E5BF1" w:rsidP="00BF3ED5">
            <w:pPr>
              <w:pStyle w:val="TekstStrategija"/>
              <w:rPr>
                <w:sz w:val="16"/>
              </w:rPr>
            </w:pPr>
            <w:r w:rsidRPr="001E57EA">
              <w:rPr>
                <w:sz w:val="16"/>
              </w:rPr>
              <w:t>90% (2027)</w:t>
            </w:r>
          </w:p>
        </w:tc>
      </w:tr>
      <w:tr w:rsidR="000776B1" w:rsidRPr="001E57EA" w:rsidTr="00921AC6">
        <w:tc>
          <w:tcPr>
            <w:tcW w:w="4390" w:type="dxa"/>
            <w:shd w:val="clear" w:color="auto" w:fill="auto"/>
          </w:tcPr>
          <w:p w:rsidR="000776B1" w:rsidRPr="001E57EA" w:rsidRDefault="000776B1" w:rsidP="00BF3ED5">
            <w:pPr>
              <w:pStyle w:val="TekstStrategija"/>
              <w:rPr>
                <w:sz w:val="16"/>
              </w:rPr>
            </w:pPr>
            <w:r w:rsidRPr="001E57EA">
              <w:rPr>
                <w:sz w:val="16"/>
              </w:rPr>
              <w:t xml:space="preserve">% </w:t>
            </w:r>
            <w:r w:rsidR="0001513C" w:rsidRPr="001E57EA">
              <w:rPr>
                <w:sz w:val="16"/>
              </w:rPr>
              <w:t>educiranih policijskih službenika</w:t>
            </w:r>
            <w:r w:rsidRPr="001E57EA">
              <w:rPr>
                <w:sz w:val="16"/>
              </w:rPr>
              <w:t xml:space="preserve"> koji rade na poslovima nasilja u porodici</w:t>
            </w:r>
          </w:p>
        </w:tc>
        <w:tc>
          <w:tcPr>
            <w:tcW w:w="1556" w:type="dxa"/>
            <w:shd w:val="clear" w:color="auto" w:fill="auto"/>
          </w:tcPr>
          <w:p w:rsidR="000776B1" w:rsidRPr="001E57EA" w:rsidRDefault="0001513C" w:rsidP="00BF3ED5">
            <w:pPr>
              <w:pStyle w:val="TekstStrategija"/>
              <w:rPr>
                <w:sz w:val="16"/>
              </w:rPr>
            </w:pPr>
            <w:r w:rsidRPr="001E57EA">
              <w:rPr>
                <w:sz w:val="16"/>
              </w:rPr>
              <w:t>FMUP</w:t>
            </w:r>
          </w:p>
        </w:tc>
        <w:tc>
          <w:tcPr>
            <w:tcW w:w="0" w:type="auto"/>
            <w:shd w:val="clear" w:color="auto" w:fill="auto"/>
          </w:tcPr>
          <w:p w:rsidR="000776B1" w:rsidRPr="001E57EA" w:rsidRDefault="0001513C" w:rsidP="00BF3ED5">
            <w:pPr>
              <w:pStyle w:val="TekstStrategija"/>
              <w:rPr>
                <w:sz w:val="16"/>
              </w:rPr>
            </w:pPr>
            <w:r w:rsidRPr="001E57EA">
              <w:rPr>
                <w:sz w:val="16"/>
              </w:rPr>
              <w:t>Nema podataka</w:t>
            </w:r>
          </w:p>
        </w:tc>
        <w:tc>
          <w:tcPr>
            <w:tcW w:w="0" w:type="auto"/>
            <w:shd w:val="clear" w:color="auto" w:fill="auto"/>
          </w:tcPr>
          <w:p w:rsidR="000776B1" w:rsidRPr="001E57EA" w:rsidRDefault="004E5BF1" w:rsidP="00BF3ED5">
            <w:pPr>
              <w:pStyle w:val="TekstStrategija"/>
              <w:rPr>
                <w:sz w:val="16"/>
              </w:rPr>
            </w:pPr>
            <w:r w:rsidRPr="001E57EA">
              <w:rPr>
                <w:sz w:val="16"/>
              </w:rPr>
              <w:t>90% (2027)</w:t>
            </w:r>
          </w:p>
        </w:tc>
      </w:tr>
    </w:tbl>
    <w:p w:rsidR="00654443" w:rsidRPr="001E57EA" w:rsidRDefault="00654443" w:rsidP="00BF3ED5">
      <w:pPr>
        <w:pStyle w:val="TekstStrategija"/>
      </w:pPr>
    </w:p>
    <w:p w:rsidR="00FA4560" w:rsidRPr="001E57EA" w:rsidRDefault="00FA4560">
      <w:pPr>
        <w:spacing w:after="160" w:line="259" w:lineRule="auto"/>
        <w:rPr>
          <w:rFonts w:ascii="Arial" w:hAnsi="Arial"/>
        </w:rPr>
      </w:pPr>
    </w:p>
    <w:p w:rsidR="005920FC" w:rsidRPr="001E57EA" w:rsidRDefault="005920FC">
      <w:pPr>
        <w:spacing w:after="160" w:line="259" w:lineRule="auto"/>
        <w:rPr>
          <w:rFonts w:ascii="Arial" w:hAnsi="Arial"/>
        </w:rPr>
      </w:pPr>
    </w:p>
    <w:p w:rsidR="00EB6DEF" w:rsidRPr="001E57EA" w:rsidRDefault="00EB6DEF">
      <w:pPr>
        <w:spacing w:after="0"/>
        <w:rPr>
          <w:rFonts w:ascii="Arial" w:eastAsia="Times New Roman" w:hAnsi="Arial"/>
          <w:b/>
          <w:sz w:val="44"/>
          <w:szCs w:val="32"/>
          <w:lang w:val="bs-Latn-BA"/>
        </w:rPr>
      </w:pPr>
      <w:r w:rsidRPr="001E57EA">
        <w:br w:type="page"/>
      </w:r>
    </w:p>
    <w:p w:rsidR="00143C71" w:rsidRPr="001E57EA" w:rsidRDefault="00FA2D23" w:rsidP="00390729">
      <w:pPr>
        <w:pStyle w:val="1naslov"/>
        <w:rPr>
          <w:color w:val="auto"/>
        </w:rPr>
      </w:pPr>
      <w:bookmarkStart w:id="33" w:name="_Toc145323829"/>
      <w:r w:rsidRPr="001E57EA">
        <w:rPr>
          <w:color w:val="auto"/>
        </w:rPr>
        <w:lastRenderedPageBreak/>
        <w:t>Indikativni finansijski okvir</w:t>
      </w:r>
      <w:bookmarkEnd w:id="33"/>
    </w:p>
    <w:p w:rsidR="00E14C3E" w:rsidRPr="001E57EA" w:rsidRDefault="00E14C3E" w:rsidP="00E14C3E">
      <w:pPr>
        <w:spacing w:after="0"/>
        <w:jc w:val="both"/>
        <w:rPr>
          <w:rFonts w:ascii="Arial" w:hAnsi="Arial"/>
          <w:lang w:val="sr-Latn-BA"/>
        </w:rPr>
      </w:pPr>
    </w:p>
    <w:tbl>
      <w:tblPr>
        <w:tblW w:w="10065" w:type="dxa"/>
        <w:tblInd w:w="-436" w:type="dxa"/>
        <w:tblLook w:val="04A0" w:firstRow="1" w:lastRow="0" w:firstColumn="1" w:lastColumn="0" w:noHBand="0" w:noVBand="1"/>
      </w:tblPr>
      <w:tblGrid>
        <w:gridCol w:w="2411"/>
        <w:gridCol w:w="1276"/>
        <w:gridCol w:w="1417"/>
        <w:gridCol w:w="1418"/>
        <w:gridCol w:w="1275"/>
        <w:gridCol w:w="2268"/>
      </w:tblGrid>
      <w:tr w:rsidR="001E57EA" w:rsidRPr="001E57EA" w:rsidTr="00AA1A57">
        <w:trPr>
          <w:trHeight w:val="300"/>
        </w:trPr>
        <w:tc>
          <w:tcPr>
            <w:tcW w:w="10065" w:type="dxa"/>
            <w:gridSpan w:val="6"/>
            <w:tcBorders>
              <w:top w:val="single" w:sz="8" w:space="0" w:color="auto"/>
              <w:left w:val="single" w:sz="8" w:space="0" w:color="auto"/>
              <w:bottom w:val="nil"/>
              <w:right w:val="single" w:sz="8" w:space="0" w:color="000000"/>
            </w:tcBorders>
            <w:shd w:val="clear" w:color="000000" w:fill="2E74B5"/>
            <w:vAlign w:val="center"/>
            <w:hideMark/>
          </w:tcPr>
          <w:p w:rsidR="00AA1A57" w:rsidRPr="001E57EA" w:rsidRDefault="00AA1A57"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INDIKATIVNI FINANSIJSKI OKVIR</w:t>
            </w:r>
          </w:p>
        </w:tc>
      </w:tr>
      <w:tr w:rsidR="001E57EA" w:rsidRPr="001E57EA" w:rsidTr="00AA1A57">
        <w:trPr>
          <w:trHeight w:val="105"/>
        </w:trPr>
        <w:tc>
          <w:tcPr>
            <w:tcW w:w="10065" w:type="dxa"/>
            <w:gridSpan w:val="6"/>
            <w:tcBorders>
              <w:top w:val="nil"/>
              <w:left w:val="single" w:sz="8" w:space="0" w:color="auto"/>
              <w:bottom w:val="single" w:sz="8" w:space="0" w:color="auto"/>
              <w:right w:val="single" w:sz="8" w:space="0" w:color="000000"/>
            </w:tcBorders>
            <w:shd w:val="clear" w:color="000000" w:fill="2E74B5"/>
            <w:vAlign w:val="center"/>
            <w:hideMark/>
          </w:tcPr>
          <w:p w:rsidR="00AA1A57" w:rsidRPr="001E57EA" w:rsidRDefault="00AA1A57"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ZA PERIOD VAŽENJA STRATEŠKOG DOKUMENTA</w:t>
            </w:r>
          </w:p>
        </w:tc>
      </w:tr>
      <w:tr w:rsidR="001E57EA" w:rsidRPr="001E57EA" w:rsidTr="00993F69">
        <w:trPr>
          <w:trHeight w:val="641"/>
        </w:trPr>
        <w:tc>
          <w:tcPr>
            <w:tcW w:w="2411" w:type="dxa"/>
            <w:vMerge w:val="restart"/>
            <w:tcBorders>
              <w:top w:val="nil"/>
              <w:left w:val="single" w:sz="8" w:space="0" w:color="auto"/>
              <w:bottom w:val="single" w:sz="8" w:space="0" w:color="000000"/>
              <w:right w:val="single" w:sz="8" w:space="0" w:color="auto"/>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Oznaka strateškog cilja, prioriteta i mjere</w:t>
            </w:r>
          </w:p>
        </w:tc>
        <w:tc>
          <w:tcPr>
            <w:tcW w:w="1276" w:type="dxa"/>
            <w:vMerge w:val="restart"/>
            <w:tcBorders>
              <w:top w:val="single" w:sz="8" w:space="0" w:color="auto"/>
              <w:left w:val="nil"/>
              <w:right w:val="single" w:sz="8" w:space="0" w:color="000000"/>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Struktura</w:t>
            </w:r>
          </w:p>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finansiranja</w:t>
            </w:r>
          </w:p>
          <w:p w:rsidR="00993F69" w:rsidRPr="001E57EA" w:rsidRDefault="00993F69" w:rsidP="00993F69">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(u %)*</w:t>
            </w:r>
          </w:p>
        </w:tc>
        <w:tc>
          <w:tcPr>
            <w:tcW w:w="1417" w:type="dxa"/>
            <w:vMerge w:val="restart"/>
            <w:tcBorders>
              <w:top w:val="nil"/>
              <w:left w:val="nil"/>
              <w:right w:val="single" w:sz="8" w:space="0" w:color="auto"/>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Ukupno</w:t>
            </w:r>
          </w:p>
          <w:p w:rsidR="00993F69" w:rsidRPr="001E57EA" w:rsidRDefault="00993F69" w:rsidP="00993F69">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(KM)</w:t>
            </w:r>
          </w:p>
        </w:tc>
        <w:tc>
          <w:tcPr>
            <w:tcW w:w="1418" w:type="dxa"/>
            <w:vMerge w:val="restart"/>
            <w:tcBorders>
              <w:top w:val="single" w:sz="8" w:space="0" w:color="auto"/>
              <w:left w:val="nil"/>
              <w:right w:val="single" w:sz="8" w:space="0" w:color="000000"/>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Budžet institucije</w:t>
            </w:r>
          </w:p>
          <w:p w:rsidR="00993F69" w:rsidRPr="001E57EA" w:rsidRDefault="00993F69" w:rsidP="00993F69">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(KM)</w:t>
            </w:r>
          </w:p>
        </w:tc>
        <w:tc>
          <w:tcPr>
            <w:tcW w:w="3543" w:type="dxa"/>
            <w:gridSpan w:val="2"/>
            <w:tcBorders>
              <w:top w:val="single" w:sz="8" w:space="0" w:color="auto"/>
              <w:left w:val="single" w:sz="8" w:space="0" w:color="auto"/>
              <w:bottom w:val="single" w:sz="8" w:space="0" w:color="000000"/>
              <w:right w:val="single" w:sz="8" w:space="0" w:color="000000"/>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Ostali izvori</w:t>
            </w:r>
          </w:p>
        </w:tc>
      </w:tr>
      <w:tr w:rsidR="001E57EA" w:rsidRPr="001E57EA" w:rsidTr="00993F69">
        <w:trPr>
          <w:trHeight w:val="27"/>
        </w:trPr>
        <w:tc>
          <w:tcPr>
            <w:tcW w:w="2411" w:type="dxa"/>
            <w:vMerge/>
            <w:tcBorders>
              <w:top w:val="nil"/>
              <w:left w:val="single" w:sz="8" w:space="0" w:color="auto"/>
              <w:bottom w:val="single" w:sz="8" w:space="0" w:color="000000"/>
              <w:right w:val="single" w:sz="8" w:space="0" w:color="auto"/>
            </w:tcBorders>
            <w:vAlign w:val="center"/>
            <w:hideMark/>
          </w:tcPr>
          <w:p w:rsidR="00993F69" w:rsidRPr="001E57EA" w:rsidRDefault="00993F69" w:rsidP="00AA1A57">
            <w:pPr>
              <w:spacing w:after="0"/>
              <w:rPr>
                <w:rFonts w:ascii="Arial" w:eastAsia="Times New Roman" w:hAnsi="Arial"/>
                <w:b/>
                <w:bCs/>
                <w:sz w:val="16"/>
                <w:szCs w:val="16"/>
                <w:lang w:val="en-GB" w:eastAsia="en-GB"/>
              </w:rPr>
            </w:pPr>
          </w:p>
        </w:tc>
        <w:tc>
          <w:tcPr>
            <w:tcW w:w="1276" w:type="dxa"/>
            <w:vMerge/>
            <w:tcBorders>
              <w:left w:val="nil"/>
              <w:bottom w:val="single" w:sz="8" w:space="0" w:color="auto"/>
              <w:right w:val="single" w:sz="8" w:space="0" w:color="000000"/>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p>
        </w:tc>
        <w:tc>
          <w:tcPr>
            <w:tcW w:w="1417" w:type="dxa"/>
            <w:vMerge/>
            <w:tcBorders>
              <w:left w:val="nil"/>
              <w:bottom w:val="single" w:sz="8" w:space="0" w:color="auto"/>
              <w:right w:val="single" w:sz="8" w:space="0" w:color="auto"/>
            </w:tcBorders>
            <w:shd w:val="clear" w:color="000000" w:fill="DEEAF6"/>
            <w:vAlign w:val="center"/>
            <w:hideMark/>
          </w:tcPr>
          <w:p w:rsidR="00993F69" w:rsidRPr="001E57EA" w:rsidRDefault="00993F69" w:rsidP="00AA1A57">
            <w:pPr>
              <w:spacing w:after="0"/>
              <w:rPr>
                <w:rFonts w:ascii="Arial" w:eastAsia="Times New Roman" w:hAnsi="Arial"/>
                <w:sz w:val="16"/>
                <w:szCs w:val="16"/>
                <w:lang w:val="en-GB" w:eastAsia="en-GB"/>
              </w:rPr>
            </w:pPr>
          </w:p>
        </w:tc>
        <w:tc>
          <w:tcPr>
            <w:tcW w:w="1418" w:type="dxa"/>
            <w:vMerge/>
            <w:tcBorders>
              <w:left w:val="nil"/>
              <w:bottom w:val="single" w:sz="8" w:space="0" w:color="auto"/>
              <w:right w:val="single" w:sz="8" w:space="0" w:color="000000"/>
            </w:tcBorders>
            <w:shd w:val="clear" w:color="000000" w:fill="DEEAF6"/>
            <w:vAlign w:val="center"/>
            <w:hideMark/>
          </w:tcPr>
          <w:p w:rsidR="00993F69" w:rsidRPr="001E57EA" w:rsidRDefault="00993F69" w:rsidP="00AA1A57">
            <w:pPr>
              <w:spacing w:after="0"/>
              <w:rPr>
                <w:rFonts w:ascii="Arial" w:eastAsia="Times New Roman" w:hAnsi="Arial"/>
                <w:sz w:val="16"/>
                <w:szCs w:val="16"/>
                <w:lang w:val="en-GB" w:eastAsia="en-GB"/>
              </w:rPr>
            </w:pPr>
          </w:p>
        </w:tc>
        <w:tc>
          <w:tcPr>
            <w:tcW w:w="1275" w:type="dxa"/>
            <w:tcBorders>
              <w:top w:val="nil"/>
              <w:left w:val="nil"/>
              <w:bottom w:val="single" w:sz="8" w:space="0" w:color="auto"/>
              <w:right w:val="single" w:sz="8" w:space="0" w:color="auto"/>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eastAsia="en-GB"/>
              </w:rPr>
              <w:t>(KM)</w:t>
            </w:r>
          </w:p>
        </w:tc>
        <w:tc>
          <w:tcPr>
            <w:tcW w:w="2268" w:type="dxa"/>
            <w:tcBorders>
              <w:top w:val="single" w:sz="8" w:space="0" w:color="auto"/>
              <w:left w:val="nil"/>
              <w:bottom w:val="single" w:sz="8" w:space="0" w:color="auto"/>
              <w:right w:val="single" w:sz="8" w:space="0" w:color="000000"/>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bs-Latn-BA" w:eastAsia="en-GB"/>
              </w:rPr>
              <w:t>Naziv potencijalnog izvora</w:t>
            </w:r>
          </w:p>
        </w:tc>
      </w:tr>
      <w:tr w:rsidR="001E57EA" w:rsidRPr="001E57EA" w:rsidTr="00993F69">
        <w:trPr>
          <w:trHeight w:val="315"/>
        </w:trPr>
        <w:tc>
          <w:tcPr>
            <w:tcW w:w="2411" w:type="dxa"/>
            <w:tcBorders>
              <w:top w:val="nil"/>
              <w:left w:val="single" w:sz="8" w:space="0" w:color="auto"/>
              <w:bottom w:val="single" w:sz="8" w:space="0" w:color="auto"/>
              <w:right w:val="single" w:sz="8" w:space="0" w:color="auto"/>
            </w:tcBorders>
            <w:shd w:val="clear" w:color="000000" w:fill="FBE4D5"/>
            <w:vAlign w:val="center"/>
            <w:hideMark/>
          </w:tcPr>
          <w:p w:rsidR="00AA1A57" w:rsidRPr="001E57EA" w:rsidRDefault="00AA1A57" w:rsidP="00AA1A57">
            <w:pPr>
              <w:spacing w:after="0"/>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 xml:space="preserve">1. Strateški cilj </w:t>
            </w:r>
          </w:p>
        </w:tc>
        <w:tc>
          <w:tcPr>
            <w:tcW w:w="1276" w:type="dxa"/>
            <w:tcBorders>
              <w:top w:val="single" w:sz="8" w:space="0" w:color="auto"/>
              <w:left w:val="nil"/>
              <w:bottom w:val="single" w:sz="8" w:space="0" w:color="auto"/>
              <w:right w:val="single" w:sz="8" w:space="0" w:color="000000"/>
            </w:tcBorders>
            <w:shd w:val="clear" w:color="000000" w:fill="FBE4D5"/>
            <w:vAlign w:val="center"/>
            <w:hideMark/>
          </w:tcPr>
          <w:p w:rsidR="00AA1A57" w:rsidRPr="001E57EA" w:rsidRDefault="00AA1A57"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w:t>
            </w:r>
          </w:p>
        </w:tc>
        <w:tc>
          <w:tcPr>
            <w:tcW w:w="1417" w:type="dxa"/>
            <w:tcBorders>
              <w:top w:val="nil"/>
              <w:left w:val="nil"/>
              <w:bottom w:val="single" w:sz="8" w:space="0" w:color="auto"/>
              <w:right w:val="single" w:sz="8" w:space="0" w:color="auto"/>
            </w:tcBorders>
            <w:shd w:val="clear" w:color="000000" w:fill="FBE4D5"/>
            <w:vAlign w:val="center"/>
            <w:hideMark/>
          </w:tcPr>
          <w:p w:rsidR="00AA1A57" w:rsidRPr="001E57EA" w:rsidRDefault="00432FB6" w:rsidP="00432FB6">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7</w:t>
            </w:r>
            <w:r w:rsidR="00AA1A57" w:rsidRPr="001E57EA">
              <w:rPr>
                <w:rFonts w:ascii="Arial" w:eastAsia="Times New Roman" w:hAnsi="Arial"/>
                <w:b/>
                <w:sz w:val="16"/>
                <w:szCs w:val="16"/>
                <w:lang w:val="sr-Latn-BA" w:eastAsia="en-GB"/>
              </w:rPr>
              <w:t>.</w:t>
            </w:r>
            <w:r w:rsidRPr="001E57EA">
              <w:rPr>
                <w:rFonts w:ascii="Arial" w:eastAsia="Times New Roman" w:hAnsi="Arial"/>
                <w:b/>
                <w:sz w:val="16"/>
                <w:szCs w:val="16"/>
                <w:lang w:val="sr-Latn-BA" w:eastAsia="en-GB"/>
              </w:rPr>
              <w:t>507</w:t>
            </w:r>
            <w:r w:rsidR="00AA1A57" w:rsidRPr="001E57EA">
              <w:rPr>
                <w:rFonts w:ascii="Arial" w:eastAsia="Times New Roman" w:hAnsi="Arial"/>
                <w:b/>
                <w:sz w:val="16"/>
                <w:szCs w:val="16"/>
                <w:lang w:val="sr-Latn-BA" w:eastAsia="en-GB"/>
              </w:rPr>
              <w:t>.000</w:t>
            </w:r>
          </w:p>
        </w:tc>
        <w:tc>
          <w:tcPr>
            <w:tcW w:w="1418" w:type="dxa"/>
            <w:tcBorders>
              <w:top w:val="single" w:sz="8" w:space="0" w:color="auto"/>
              <w:left w:val="nil"/>
              <w:bottom w:val="single" w:sz="8" w:space="0" w:color="auto"/>
              <w:right w:val="single" w:sz="8" w:space="0" w:color="000000"/>
            </w:tcBorders>
            <w:shd w:val="clear" w:color="000000" w:fill="FBE4D5"/>
            <w:vAlign w:val="center"/>
            <w:hideMark/>
          </w:tcPr>
          <w:p w:rsidR="00AA1A57" w:rsidRPr="001E57EA" w:rsidRDefault="00432FB6" w:rsidP="00432FB6">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4</w:t>
            </w:r>
            <w:r w:rsidR="00AA1A57" w:rsidRPr="001E57EA">
              <w:rPr>
                <w:rFonts w:ascii="Arial" w:eastAsia="Times New Roman" w:hAnsi="Arial"/>
                <w:b/>
                <w:sz w:val="16"/>
                <w:szCs w:val="16"/>
                <w:lang w:val="sr-Latn-BA" w:eastAsia="en-GB"/>
              </w:rPr>
              <w:t>.</w:t>
            </w:r>
            <w:r w:rsidRPr="001E57EA">
              <w:rPr>
                <w:rFonts w:ascii="Arial" w:eastAsia="Times New Roman" w:hAnsi="Arial"/>
                <w:b/>
                <w:sz w:val="16"/>
                <w:szCs w:val="16"/>
                <w:lang w:val="sr-Latn-BA" w:eastAsia="en-GB"/>
              </w:rPr>
              <w:t>147</w:t>
            </w:r>
            <w:r w:rsidR="00AA1A57" w:rsidRPr="001E57EA">
              <w:rPr>
                <w:rFonts w:ascii="Arial" w:eastAsia="Times New Roman" w:hAnsi="Arial"/>
                <w:b/>
                <w:sz w:val="16"/>
                <w:szCs w:val="16"/>
                <w:lang w:val="sr-Latn-BA" w:eastAsia="en-GB"/>
              </w:rPr>
              <w:t>.000</w:t>
            </w:r>
          </w:p>
        </w:tc>
        <w:tc>
          <w:tcPr>
            <w:tcW w:w="1275" w:type="dxa"/>
            <w:tcBorders>
              <w:top w:val="nil"/>
              <w:left w:val="nil"/>
              <w:bottom w:val="single" w:sz="8" w:space="0" w:color="auto"/>
              <w:right w:val="single" w:sz="8" w:space="0" w:color="auto"/>
            </w:tcBorders>
            <w:shd w:val="clear" w:color="000000" w:fill="FBE4D5"/>
            <w:vAlign w:val="center"/>
            <w:hideMark/>
          </w:tcPr>
          <w:p w:rsidR="00AA1A57" w:rsidRPr="001E57EA" w:rsidRDefault="00AA1A57"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3.360.000</w:t>
            </w:r>
          </w:p>
        </w:tc>
        <w:tc>
          <w:tcPr>
            <w:tcW w:w="2268" w:type="dxa"/>
            <w:tcBorders>
              <w:top w:val="single" w:sz="8" w:space="0" w:color="auto"/>
              <w:left w:val="nil"/>
              <w:bottom w:val="single" w:sz="8" w:space="0" w:color="auto"/>
              <w:right w:val="single" w:sz="8" w:space="0" w:color="000000"/>
            </w:tcBorders>
            <w:shd w:val="clear" w:color="000000" w:fill="FBE4D5"/>
            <w:vAlign w:val="center"/>
            <w:hideMark/>
          </w:tcPr>
          <w:p w:rsidR="00AA1A57" w:rsidRPr="001E57EA" w:rsidRDefault="00993F69" w:rsidP="00AA1A57">
            <w:pPr>
              <w:spacing w:after="0"/>
              <w:rPr>
                <w:rFonts w:ascii="Arial" w:eastAsia="Times New Roman" w:hAnsi="Arial"/>
                <w:sz w:val="14"/>
                <w:szCs w:val="14"/>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510"/>
        </w:trPr>
        <w:tc>
          <w:tcPr>
            <w:tcW w:w="2411" w:type="dxa"/>
            <w:tcBorders>
              <w:top w:val="nil"/>
              <w:left w:val="single" w:sz="8" w:space="0" w:color="auto"/>
              <w:bottom w:val="single" w:sz="8" w:space="0" w:color="auto"/>
              <w:right w:val="single" w:sz="8" w:space="0" w:color="auto"/>
            </w:tcBorders>
            <w:shd w:val="clear" w:color="000000" w:fill="DEEAF6"/>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1.1. Prioritet: Poboljšati sistemsku prevenciju nasilja u porodici</w:t>
            </w:r>
          </w:p>
        </w:tc>
        <w:tc>
          <w:tcPr>
            <w:tcW w:w="1276"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AA1A57" w:rsidP="00F33E6F">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2</w:t>
            </w:r>
            <w:r w:rsidR="00F33E6F" w:rsidRPr="001E57EA">
              <w:rPr>
                <w:rFonts w:ascii="Arial" w:eastAsia="Times New Roman" w:hAnsi="Arial"/>
                <w:b/>
                <w:bCs/>
                <w:sz w:val="16"/>
                <w:szCs w:val="16"/>
                <w:lang w:val="sr-Latn-BA" w:eastAsia="en-GB"/>
              </w:rPr>
              <w:t>5</w:t>
            </w:r>
            <w:r w:rsidRPr="001E57EA">
              <w:rPr>
                <w:rFonts w:ascii="Arial" w:eastAsia="Times New Roman" w:hAnsi="Arial"/>
                <w:b/>
                <w:bCs/>
                <w:sz w:val="16"/>
                <w:szCs w:val="16"/>
                <w:lang w:val="sr-Latn-BA" w:eastAsia="en-GB"/>
              </w:rPr>
              <w:t>,</w:t>
            </w:r>
            <w:r w:rsidR="00F33E6F" w:rsidRPr="001E57EA">
              <w:rPr>
                <w:rFonts w:ascii="Arial" w:eastAsia="Times New Roman" w:hAnsi="Arial"/>
                <w:b/>
                <w:bCs/>
                <w:sz w:val="16"/>
                <w:szCs w:val="16"/>
                <w:lang w:val="sr-Latn-BA" w:eastAsia="en-GB"/>
              </w:rPr>
              <w:t>6</w:t>
            </w:r>
            <w:r w:rsidRPr="001E57EA">
              <w:rPr>
                <w:rFonts w:ascii="Arial" w:eastAsia="Times New Roman" w:hAnsi="Arial"/>
                <w:b/>
                <w:bCs/>
                <w:sz w:val="16"/>
                <w:szCs w:val="16"/>
                <w:lang w:val="sr-Latn-BA" w:eastAsia="en-GB"/>
              </w:rPr>
              <w:t>7</w:t>
            </w:r>
          </w:p>
        </w:tc>
        <w:tc>
          <w:tcPr>
            <w:tcW w:w="1417" w:type="dxa"/>
            <w:tcBorders>
              <w:top w:val="nil"/>
              <w:left w:val="nil"/>
              <w:bottom w:val="single" w:sz="8" w:space="0" w:color="auto"/>
              <w:right w:val="single" w:sz="8" w:space="0" w:color="auto"/>
            </w:tcBorders>
            <w:shd w:val="clear" w:color="000000" w:fill="DEEAF6"/>
            <w:vAlign w:val="center"/>
            <w:hideMark/>
          </w:tcPr>
          <w:p w:rsidR="00AA1A57" w:rsidRPr="001E57EA" w:rsidRDefault="00F33E6F" w:rsidP="00F33E6F">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1</w:t>
            </w:r>
            <w:r w:rsidR="00AA1A57" w:rsidRPr="001E57EA">
              <w:rPr>
                <w:rFonts w:ascii="Arial" w:eastAsia="Times New Roman" w:hAnsi="Arial"/>
                <w:b/>
                <w:sz w:val="16"/>
                <w:szCs w:val="16"/>
                <w:lang w:val="sr-Latn-BA" w:eastAsia="en-GB"/>
              </w:rPr>
              <w:t>.</w:t>
            </w:r>
            <w:r w:rsidRPr="001E57EA">
              <w:rPr>
                <w:rFonts w:ascii="Arial" w:eastAsia="Times New Roman" w:hAnsi="Arial"/>
                <w:b/>
                <w:sz w:val="16"/>
                <w:szCs w:val="16"/>
                <w:lang w:val="sr-Latn-BA" w:eastAsia="en-GB"/>
              </w:rPr>
              <w:t>927</w:t>
            </w:r>
            <w:r w:rsidR="00AA1A57" w:rsidRPr="001E57EA">
              <w:rPr>
                <w:rFonts w:ascii="Arial" w:eastAsia="Times New Roman" w:hAnsi="Arial"/>
                <w:b/>
                <w:sz w:val="16"/>
                <w:szCs w:val="16"/>
                <w:lang w:val="sr-Latn-BA" w:eastAsia="en-GB"/>
              </w:rPr>
              <w:t>.000</w:t>
            </w:r>
          </w:p>
        </w:tc>
        <w:tc>
          <w:tcPr>
            <w:tcW w:w="1418"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AA1A57" w:rsidP="00F33E6F">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1.</w:t>
            </w:r>
            <w:r w:rsidR="00F33E6F" w:rsidRPr="001E57EA">
              <w:rPr>
                <w:rFonts w:ascii="Arial" w:eastAsia="Times New Roman" w:hAnsi="Arial"/>
                <w:b/>
                <w:sz w:val="16"/>
                <w:szCs w:val="16"/>
                <w:lang w:val="sr-Latn-BA" w:eastAsia="en-GB"/>
              </w:rPr>
              <w:t>047</w:t>
            </w:r>
            <w:r w:rsidRPr="001E57EA">
              <w:rPr>
                <w:rFonts w:ascii="Arial" w:eastAsia="Times New Roman" w:hAnsi="Arial"/>
                <w:b/>
                <w:sz w:val="16"/>
                <w:szCs w:val="16"/>
                <w:lang w:val="sr-Latn-BA" w:eastAsia="en-GB"/>
              </w:rPr>
              <w:t>.000</w:t>
            </w:r>
          </w:p>
        </w:tc>
        <w:tc>
          <w:tcPr>
            <w:tcW w:w="1275" w:type="dxa"/>
            <w:tcBorders>
              <w:top w:val="nil"/>
              <w:left w:val="nil"/>
              <w:bottom w:val="single" w:sz="8" w:space="0" w:color="auto"/>
              <w:right w:val="single" w:sz="8" w:space="0" w:color="auto"/>
            </w:tcBorders>
            <w:shd w:val="clear" w:color="000000" w:fill="DEEAF6"/>
            <w:vAlign w:val="center"/>
            <w:hideMark/>
          </w:tcPr>
          <w:p w:rsidR="00AA1A57" w:rsidRPr="001E57EA" w:rsidRDefault="00AA1A57"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880.000</w:t>
            </w:r>
          </w:p>
        </w:tc>
        <w:tc>
          <w:tcPr>
            <w:tcW w:w="2268"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61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1.1.1. Mjera: Promocija tolerancije, nenasilja i rodne ravnopravnost u porodici i društvu</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7,43%</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750.000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en-GB" w:eastAsia="en-GB"/>
              </w:rPr>
              <w:t>270.000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480.000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78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1.1.2. Mjera: Razvijati mehanizme ranog prepoznavanja nasilja i otklanjanja faktora rizika za nasilje u porodici</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13,87%</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432FB6"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817</w:t>
            </w:r>
            <w:r w:rsidR="00AA1A57" w:rsidRPr="001E57EA">
              <w:rPr>
                <w:rFonts w:ascii="Arial" w:eastAsia="Times New Roman" w:hAnsi="Arial"/>
                <w:sz w:val="16"/>
                <w:szCs w:val="16"/>
                <w:lang w:val="sr-Latn-BA" w:eastAsia="en-GB"/>
              </w:rPr>
              <w:t>.000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432FB6"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457</w:t>
            </w:r>
            <w:r w:rsidR="00AA1A57" w:rsidRPr="001E57EA">
              <w:rPr>
                <w:rFonts w:ascii="Arial" w:eastAsia="Times New Roman" w:hAnsi="Arial"/>
                <w:sz w:val="16"/>
                <w:szCs w:val="16"/>
                <w:lang w:val="sr-Latn-BA" w:eastAsia="en-GB"/>
              </w:rPr>
              <w:t>.000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360.000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52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1.1.3. Mjera: Unaprijediti proces praćenja primjene propisa i usklađivanja sa stvarnim potrebama</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3,56%</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360.000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320.000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40.000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615"/>
        </w:trPr>
        <w:tc>
          <w:tcPr>
            <w:tcW w:w="2411" w:type="dxa"/>
            <w:tcBorders>
              <w:top w:val="nil"/>
              <w:left w:val="single" w:sz="8" w:space="0" w:color="auto"/>
              <w:bottom w:val="single" w:sz="8" w:space="0" w:color="auto"/>
              <w:right w:val="single" w:sz="8" w:space="0" w:color="auto"/>
            </w:tcBorders>
            <w:shd w:val="clear" w:color="000000" w:fill="DEEAF6"/>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1.2. Prioritet: Unaprijediti sistem sveobuhvatne i efikasne zaštite žrtava nasilja u porodici</w:t>
            </w:r>
          </w:p>
        </w:tc>
        <w:tc>
          <w:tcPr>
            <w:tcW w:w="1276"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AA1A57" w:rsidP="00F33E6F">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1</w:t>
            </w:r>
            <w:r w:rsidR="00F33E6F" w:rsidRPr="001E57EA">
              <w:rPr>
                <w:rFonts w:ascii="Arial" w:eastAsia="Times New Roman" w:hAnsi="Arial"/>
                <w:b/>
                <w:bCs/>
                <w:sz w:val="16"/>
                <w:szCs w:val="16"/>
                <w:lang w:val="sr-Latn-BA" w:eastAsia="en-GB"/>
              </w:rPr>
              <w:t>9</w:t>
            </w:r>
            <w:r w:rsidRPr="001E57EA">
              <w:rPr>
                <w:rFonts w:ascii="Arial" w:eastAsia="Times New Roman" w:hAnsi="Arial"/>
                <w:b/>
                <w:bCs/>
                <w:sz w:val="16"/>
                <w:szCs w:val="16"/>
                <w:lang w:val="sr-Latn-BA" w:eastAsia="en-GB"/>
              </w:rPr>
              <w:t>,</w:t>
            </w:r>
            <w:r w:rsidR="00F33E6F" w:rsidRPr="001E57EA">
              <w:rPr>
                <w:rFonts w:ascii="Arial" w:eastAsia="Times New Roman" w:hAnsi="Arial"/>
                <w:b/>
                <w:bCs/>
                <w:sz w:val="16"/>
                <w:szCs w:val="16"/>
                <w:lang w:val="sr-Latn-BA" w:eastAsia="en-GB"/>
              </w:rPr>
              <w:t>18</w:t>
            </w:r>
            <w:r w:rsidRPr="001E57EA">
              <w:rPr>
                <w:rFonts w:ascii="Arial" w:eastAsia="Times New Roman" w:hAnsi="Arial"/>
                <w:b/>
                <w:bCs/>
                <w:sz w:val="16"/>
                <w:szCs w:val="16"/>
                <w:lang w:val="sr-Latn-BA" w:eastAsia="en-GB"/>
              </w:rPr>
              <w:t>%</w:t>
            </w:r>
          </w:p>
        </w:tc>
        <w:tc>
          <w:tcPr>
            <w:tcW w:w="1417" w:type="dxa"/>
            <w:tcBorders>
              <w:top w:val="nil"/>
              <w:left w:val="nil"/>
              <w:bottom w:val="single" w:sz="8" w:space="0" w:color="auto"/>
              <w:right w:val="single" w:sz="8" w:space="0" w:color="auto"/>
            </w:tcBorders>
            <w:shd w:val="clear" w:color="000000" w:fill="DEEAF6"/>
            <w:vAlign w:val="center"/>
            <w:hideMark/>
          </w:tcPr>
          <w:p w:rsidR="00AA1A57" w:rsidRPr="001E57EA" w:rsidRDefault="00AA1A57"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1.440.000</w:t>
            </w:r>
          </w:p>
        </w:tc>
        <w:tc>
          <w:tcPr>
            <w:tcW w:w="1418"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AA1A57"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700.000</w:t>
            </w:r>
          </w:p>
        </w:tc>
        <w:tc>
          <w:tcPr>
            <w:tcW w:w="1275" w:type="dxa"/>
            <w:tcBorders>
              <w:top w:val="nil"/>
              <w:left w:val="nil"/>
              <w:bottom w:val="single" w:sz="8" w:space="0" w:color="auto"/>
              <w:right w:val="single" w:sz="8" w:space="0" w:color="auto"/>
            </w:tcBorders>
            <w:shd w:val="clear" w:color="000000" w:fill="DEEAF6"/>
            <w:vAlign w:val="center"/>
            <w:hideMark/>
          </w:tcPr>
          <w:p w:rsidR="00AA1A57" w:rsidRPr="001E57EA" w:rsidRDefault="00AA1A57"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740.000</w:t>
            </w:r>
          </w:p>
        </w:tc>
        <w:tc>
          <w:tcPr>
            <w:tcW w:w="2268"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54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1.2.1</w:t>
            </w:r>
            <w:r w:rsidR="00921AC6" w:rsidRPr="001E57EA">
              <w:rPr>
                <w:rFonts w:ascii="Arial" w:eastAsia="Times New Roman" w:hAnsi="Arial"/>
                <w:sz w:val="16"/>
                <w:szCs w:val="16"/>
                <w:lang w:val="sr-Latn-BA" w:eastAsia="en-GB"/>
              </w:rPr>
              <w:t xml:space="preserve"> </w:t>
            </w:r>
            <w:r w:rsidRPr="001E57EA">
              <w:rPr>
                <w:rFonts w:ascii="Arial" w:eastAsia="Times New Roman" w:hAnsi="Arial"/>
                <w:sz w:val="16"/>
                <w:szCs w:val="16"/>
                <w:lang w:val="sr-Latn-BA" w:eastAsia="en-GB"/>
              </w:rPr>
              <w:t>Mjera: Unapređenje zaštite žrtava nasilja</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2,28%</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230.000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90.000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140.000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46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1.2.2</w:t>
            </w:r>
            <w:r w:rsidR="00921AC6" w:rsidRPr="001E57EA">
              <w:rPr>
                <w:rFonts w:ascii="Arial" w:eastAsia="Times New Roman" w:hAnsi="Arial"/>
                <w:sz w:val="16"/>
                <w:szCs w:val="16"/>
                <w:lang w:val="sr-Latn-BA" w:eastAsia="en-GB"/>
              </w:rPr>
              <w:t xml:space="preserve"> </w:t>
            </w:r>
            <w:r w:rsidRPr="001E57EA">
              <w:rPr>
                <w:rFonts w:ascii="Arial" w:eastAsia="Times New Roman" w:hAnsi="Arial"/>
                <w:sz w:val="16"/>
                <w:szCs w:val="16"/>
                <w:lang w:val="sr-Latn-BA" w:eastAsia="en-GB"/>
              </w:rPr>
              <w:t xml:space="preserve">Mjera: </w:t>
            </w:r>
            <w:r w:rsidR="005F6D09" w:rsidRPr="001E57EA">
              <w:rPr>
                <w:rFonts w:ascii="Arial" w:eastAsia="Times New Roman" w:hAnsi="Arial"/>
                <w:sz w:val="16"/>
                <w:szCs w:val="16"/>
                <w:lang w:val="sr-Latn-BA" w:eastAsia="en-GB"/>
              </w:rPr>
              <w:t xml:space="preserve">Unapređenje </w:t>
            </w:r>
            <w:r w:rsidRPr="001E57EA">
              <w:rPr>
                <w:rFonts w:ascii="Arial" w:eastAsia="Times New Roman" w:hAnsi="Arial"/>
                <w:sz w:val="16"/>
                <w:szCs w:val="16"/>
                <w:lang w:val="sr-Latn-BA" w:eastAsia="en-GB"/>
              </w:rPr>
              <w:t>podršk</w:t>
            </w:r>
            <w:r w:rsidR="005F6D09" w:rsidRPr="001E57EA">
              <w:rPr>
                <w:rFonts w:ascii="Arial" w:eastAsia="Times New Roman" w:hAnsi="Arial"/>
                <w:sz w:val="16"/>
                <w:szCs w:val="16"/>
                <w:lang w:val="sr-Latn-BA" w:eastAsia="en-GB"/>
              </w:rPr>
              <w:t>e</w:t>
            </w:r>
            <w:r w:rsidRPr="001E57EA">
              <w:rPr>
                <w:rFonts w:ascii="Arial" w:eastAsia="Times New Roman" w:hAnsi="Arial"/>
                <w:sz w:val="16"/>
                <w:szCs w:val="16"/>
                <w:lang w:val="sr-Latn-BA" w:eastAsia="en-GB"/>
              </w:rPr>
              <w:t xml:space="preserve"> žrtvama</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7,04%</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710.000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260.000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450.000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52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1.2.3</w:t>
            </w:r>
            <w:r w:rsidR="00921AC6" w:rsidRPr="001E57EA">
              <w:rPr>
                <w:rFonts w:ascii="Arial" w:eastAsia="Times New Roman" w:hAnsi="Arial"/>
                <w:sz w:val="16"/>
                <w:szCs w:val="16"/>
                <w:lang w:val="sr-Latn-BA" w:eastAsia="en-GB"/>
              </w:rPr>
              <w:t xml:space="preserve"> </w:t>
            </w:r>
            <w:r w:rsidRPr="001E57EA">
              <w:rPr>
                <w:rFonts w:ascii="Arial" w:eastAsia="Times New Roman" w:hAnsi="Arial"/>
                <w:sz w:val="16"/>
                <w:szCs w:val="16"/>
                <w:lang w:val="sr-Latn-BA" w:eastAsia="en-GB"/>
              </w:rPr>
              <w:t>Mjera: Unapređenje rada sa počiniocima nasilja u porodici</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4,96%</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500.000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350.000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150.000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525"/>
        </w:trPr>
        <w:tc>
          <w:tcPr>
            <w:tcW w:w="2411" w:type="dxa"/>
            <w:tcBorders>
              <w:top w:val="nil"/>
              <w:left w:val="single" w:sz="8" w:space="0" w:color="auto"/>
              <w:bottom w:val="single" w:sz="8" w:space="0" w:color="auto"/>
              <w:right w:val="single" w:sz="8" w:space="0" w:color="auto"/>
            </w:tcBorders>
            <w:shd w:val="clear" w:color="000000" w:fill="DEEAF6"/>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1.3. Prioritet: Unaprijediti istražne i pravosudne radnje u slučajevima nasilja u porodici</w:t>
            </w:r>
          </w:p>
        </w:tc>
        <w:tc>
          <w:tcPr>
            <w:tcW w:w="1276"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F33E6F" w:rsidP="00F33E6F">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55</w:t>
            </w:r>
            <w:r w:rsidR="00AA1A57" w:rsidRPr="001E57EA">
              <w:rPr>
                <w:rFonts w:ascii="Arial" w:eastAsia="Times New Roman" w:hAnsi="Arial"/>
                <w:b/>
                <w:bCs/>
                <w:sz w:val="16"/>
                <w:szCs w:val="16"/>
                <w:lang w:val="sr-Latn-BA" w:eastAsia="en-GB"/>
              </w:rPr>
              <w:t>,</w:t>
            </w:r>
            <w:r w:rsidRPr="001E57EA">
              <w:rPr>
                <w:rFonts w:ascii="Arial" w:eastAsia="Times New Roman" w:hAnsi="Arial"/>
                <w:b/>
                <w:bCs/>
                <w:sz w:val="16"/>
                <w:szCs w:val="16"/>
                <w:lang w:val="sr-Latn-BA" w:eastAsia="en-GB"/>
              </w:rPr>
              <w:t>1</w:t>
            </w:r>
            <w:r w:rsidR="00AA1A57" w:rsidRPr="001E57EA">
              <w:rPr>
                <w:rFonts w:ascii="Arial" w:eastAsia="Times New Roman" w:hAnsi="Arial"/>
                <w:b/>
                <w:bCs/>
                <w:sz w:val="16"/>
                <w:szCs w:val="16"/>
                <w:lang w:val="sr-Latn-BA" w:eastAsia="en-GB"/>
              </w:rPr>
              <w:t>5%</w:t>
            </w:r>
          </w:p>
        </w:tc>
        <w:tc>
          <w:tcPr>
            <w:tcW w:w="1417" w:type="dxa"/>
            <w:tcBorders>
              <w:top w:val="nil"/>
              <w:left w:val="nil"/>
              <w:bottom w:val="single" w:sz="8" w:space="0" w:color="auto"/>
              <w:right w:val="single" w:sz="8" w:space="0" w:color="auto"/>
            </w:tcBorders>
            <w:shd w:val="clear" w:color="000000" w:fill="DEEAF6"/>
            <w:vAlign w:val="center"/>
            <w:hideMark/>
          </w:tcPr>
          <w:p w:rsidR="00AA1A57" w:rsidRPr="001E57EA" w:rsidRDefault="00634AC2"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4</w:t>
            </w:r>
            <w:r w:rsidR="00AA1A57" w:rsidRPr="001E57EA">
              <w:rPr>
                <w:rFonts w:ascii="Arial" w:eastAsia="Times New Roman" w:hAnsi="Arial"/>
                <w:b/>
                <w:sz w:val="16"/>
                <w:szCs w:val="16"/>
                <w:lang w:val="sr-Latn-BA" w:eastAsia="en-GB"/>
              </w:rPr>
              <w:t>.140.000</w:t>
            </w:r>
          </w:p>
        </w:tc>
        <w:tc>
          <w:tcPr>
            <w:tcW w:w="1418"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F33E6F"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2</w:t>
            </w:r>
            <w:r w:rsidR="00AA1A57" w:rsidRPr="001E57EA">
              <w:rPr>
                <w:rFonts w:ascii="Arial" w:eastAsia="Times New Roman" w:hAnsi="Arial"/>
                <w:b/>
                <w:sz w:val="16"/>
                <w:szCs w:val="16"/>
                <w:lang w:val="sr-Latn-BA" w:eastAsia="en-GB"/>
              </w:rPr>
              <w:t>.400.000</w:t>
            </w:r>
          </w:p>
        </w:tc>
        <w:tc>
          <w:tcPr>
            <w:tcW w:w="1275" w:type="dxa"/>
            <w:tcBorders>
              <w:top w:val="nil"/>
              <w:left w:val="nil"/>
              <w:bottom w:val="single" w:sz="8" w:space="0" w:color="auto"/>
              <w:right w:val="single" w:sz="8" w:space="0" w:color="auto"/>
            </w:tcBorders>
            <w:shd w:val="clear" w:color="000000" w:fill="DEEAF6"/>
            <w:vAlign w:val="center"/>
            <w:hideMark/>
          </w:tcPr>
          <w:p w:rsidR="00AA1A57" w:rsidRPr="001E57EA" w:rsidRDefault="00AA1A57" w:rsidP="00AA1A57">
            <w:pPr>
              <w:spacing w:after="0"/>
              <w:jc w:val="right"/>
              <w:rPr>
                <w:rFonts w:ascii="Arial" w:eastAsia="Times New Roman" w:hAnsi="Arial"/>
                <w:b/>
                <w:sz w:val="16"/>
                <w:szCs w:val="16"/>
                <w:lang w:val="en-GB" w:eastAsia="en-GB"/>
              </w:rPr>
            </w:pPr>
            <w:r w:rsidRPr="001E57EA">
              <w:rPr>
                <w:rFonts w:ascii="Arial" w:eastAsia="Times New Roman" w:hAnsi="Arial"/>
                <w:b/>
                <w:sz w:val="16"/>
                <w:szCs w:val="16"/>
                <w:lang w:val="sr-Latn-BA" w:eastAsia="en-GB"/>
              </w:rPr>
              <w:t>1.740.000</w:t>
            </w:r>
          </w:p>
        </w:tc>
        <w:tc>
          <w:tcPr>
            <w:tcW w:w="2268" w:type="dxa"/>
            <w:tcBorders>
              <w:top w:val="single" w:sz="8" w:space="0" w:color="auto"/>
              <w:left w:val="nil"/>
              <w:bottom w:val="single" w:sz="8" w:space="0" w:color="auto"/>
              <w:right w:val="single" w:sz="8" w:space="0" w:color="000000"/>
            </w:tcBorders>
            <w:shd w:val="clear" w:color="000000" w:fill="DEEAF6"/>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78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sr-Latn-BA" w:eastAsia="en-GB"/>
              </w:rPr>
            </w:pPr>
            <w:r w:rsidRPr="001E57EA">
              <w:rPr>
                <w:rFonts w:ascii="Arial" w:eastAsia="Times New Roman" w:hAnsi="Arial"/>
                <w:sz w:val="16"/>
                <w:szCs w:val="16"/>
                <w:lang w:val="sr-Latn-BA" w:eastAsia="en-GB"/>
              </w:rPr>
              <w:t>1.3.1.</w:t>
            </w:r>
            <w:r w:rsidR="00921AC6" w:rsidRPr="001E57EA">
              <w:rPr>
                <w:rFonts w:ascii="Arial" w:eastAsia="Times New Roman" w:hAnsi="Arial"/>
                <w:sz w:val="16"/>
                <w:szCs w:val="16"/>
                <w:lang w:val="sr-Latn-BA" w:eastAsia="en-GB"/>
              </w:rPr>
              <w:t xml:space="preserve"> </w:t>
            </w:r>
            <w:r w:rsidR="005F6A70" w:rsidRPr="001E57EA">
              <w:rPr>
                <w:rFonts w:ascii="Arial" w:eastAsia="Times New Roman" w:hAnsi="Arial"/>
                <w:sz w:val="16"/>
                <w:szCs w:val="16"/>
                <w:lang w:val="sr-Latn-BA" w:eastAsia="en-GB"/>
              </w:rPr>
              <w:t xml:space="preserve">Mjera: Poboljšati </w:t>
            </w:r>
            <w:r w:rsidR="00064FB0" w:rsidRPr="001E57EA">
              <w:rPr>
                <w:rFonts w:ascii="Arial" w:eastAsia="Times New Roman" w:hAnsi="Arial"/>
                <w:sz w:val="16"/>
                <w:szCs w:val="16"/>
                <w:lang w:val="sr-Latn-BA" w:eastAsia="en-GB"/>
              </w:rPr>
              <w:t>uvjet</w:t>
            </w:r>
            <w:r w:rsidR="005F6A70" w:rsidRPr="001E57EA">
              <w:rPr>
                <w:rFonts w:ascii="Arial" w:eastAsia="Times New Roman" w:hAnsi="Arial"/>
                <w:sz w:val="16"/>
                <w:szCs w:val="16"/>
                <w:lang w:val="sr-Latn-BA" w:eastAsia="en-GB"/>
              </w:rPr>
              <w:t>e za žrt</w:t>
            </w:r>
            <w:r w:rsidRPr="001E57EA">
              <w:rPr>
                <w:rFonts w:ascii="Arial" w:eastAsia="Times New Roman" w:hAnsi="Arial"/>
                <w:sz w:val="16"/>
                <w:szCs w:val="16"/>
                <w:lang w:val="sr-Latn-BA" w:eastAsia="en-GB"/>
              </w:rPr>
              <w:t>ve nasilja, djecu žrtava i svjedoke tokom istražnih i pravosudnih radnji</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18,33%</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1.850.000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850.000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1.000.000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52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1.3.2.</w:t>
            </w:r>
            <w:r w:rsidR="00921AC6" w:rsidRPr="001E57EA">
              <w:rPr>
                <w:rFonts w:ascii="Arial" w:eastAsia="Times New Roman" w:hAnsi="Arial"/>
                <w:sz w:val="16"/>
                <w:szCs w:val="16"/>
                <w:lang w:val="sr-Latn-BA" w:eastAsia="en-GB"/>
              </w:rPr>
              <w:t xml:space="preserve"> </w:t>
            </w:r>
            <w:r w:rsidRPr="001E57EA">
              <w:rPr>
                <w:rFonts w:ascii="Arial" w:eastAsia="Times New Roman" w:hAnsi="Arial"/>
                <w:sz w:val="16"/>
                <w:szCs w:val="16"/>
                <w:lang w:val="sr-Latn-BA" w:eastAsia="en-GB"/>
              </w:rPr>
              <w:t>Mjera: Poboljšati efikasnost rada službenih lica u slučajevima nasilja u porodici</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AA1A57"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42,52%</w:t>
            </w:r>
          </w:p>
        </w:tc>
        <w:tc>
          <w:tcPr>
            <w:tcW w:w="1417" w:type="dxa"/>
            <w:tcBorders>
              <w:top w:val="nil"/>
              <w:left w:val="nil"/>
              <w:bottom w:val="single" w:sz="8" w:space="0" w:color="auto"/>
              <w:right w:val="single" w:sz="8" w:space="0" w:color="auto"/>
            </w:tcBorders>
            <w:shd w:val="clear" w:color="auto" w:fill="auto"/>
            <w:vAlign w:val="center"/>
            <w:hideMark/>
          </w:tcPr>
          <w:p w:rsidR="00AA1A57" w:rsidRPr="001E57EA" w:rsidRDefault="00F33E6F"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2</w:t>
            </w:r>
            <w:r w:rsidR="00AA1A57" w:rsidRPr="001E57EA">
              <w:rPr>
                <w:rFonts w:ascii="Arial" w:eastAsia="Times New Roman" w:hAnsi="Arial"/>
                <w:sz w:val="16"/>
                <w:szCs w:val="16"/>
                <w:lang w:val="sr-Latn-BA" w:eastAsia="en-GB"/>
              </w:rPr>
              <w:t>.290.000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F33E6F"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1</w:t>
            </w:r>
            <w:r w:rsidR="00AA1A57" w:rsidRPr="001E57EA">
              <w:rPr>
                <w:rFonts w:ascii="Arial" w:eastAsia="Times New Roman" w:hAnsi="Arial"/>
                <w:sz w:val="16"/>
                <w:szCs w:val="16"/>
                <w:lang w:val="sr-Latn-BA" w:eastAsia="en-GB"/>
              </w:rPr>
              <w:t>.550.000</w:t>
            </w:r>
          </w:p>
        </w:tc>
        <w:tc>
          <w:tcPr>
            <w:tcW w:w="1275" w:type="dxa"/>
            <w:tcBorders>
              <w:top w:val="nil"/>
              <w:left w:val="nil"/>
              <w:bottom w:val="single" w:sz="8" w:space="0" w:color="auto"/>
              <w:right w:val="single" w:sz="8" w:space="0" w:color="auto"/>
            </w:tcBorders>
            <w:shd w:val="clear" w:color="auto" w:fill="auto"/>
            <w:vAlign w:val="center"/>
            <w:hideMark/>
          </w:tcPr>
          <w:p w:rsidR="00AA1A57" w:rsidRPr="001E57EA" w:rsidRDefault="00AA1A57" w:rsidP="00AA1A57">
            <w:pPr>
              <w:spacing w:after="0"/>
              <w:jc w:val="right"/>
              <w:rPr>
                <w:rFonts w:ascii="Arial" w:eastAsia="Times New Roman" w:hAnsi="Arial"/>
                <w:sz w:val="16"/>
                <w:szCs w:val="16"/>
                <w:lang w:val="en-GB" w:eastAsia="en-GB"/>
              </w:rPr>
            </w:pPr>
            <w:r w:rsidRPr="001E57EA">
              <w:rPr>
                <w:rFonts w:ascii="Arial" w:eastAsia="Times New Roman" w:hAnsi="Arial"/>
                <w:sz w:val="16"/>
                <w:szCs w:val="16"/>
                <w:lang w:val="sr-Latn-BA" w:eastAsia="en-GB"/>
              </w:rPr>
              <w:t>740.000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AA1A57" w:rsidRPr="001E57EA" w:rsidRDefault="00D97915" w:rsidP="00AA1A57">
            <w:pPr>
              <w:spacing w:after="0"/>
              <w:rPr>
                <w:rFonts w:ascii="Arial" w:eastAsia="Times New Roman" w:hAnsi="Arial"/>
                <w:sz w:val="16"/>
                <w:szCs w:val="16"/>
                <w:lang w:val="en-GB" w:eastAsia="en-GB"/>
              </w:rPr>
            </w:pPr>
            <w:r w:rsidRPr="001E57EA">
              <w:rPr>
                <w:rFonts w:ascii="Arial" w:eastAsia="Times New Roman" w:hAnsi="Arial"/>
                <w:sz w:val="14"/>
                <w:szCs w:val="14"/>
                <w:lang w:val="sr-Latn-BA" w:eastAsia="en-GB"/>
              </w:rPr>
              <w:t>Budžeti institucija, projektna sredstva domaćih i međunarodnih organizacija</w:t>
            </w:r>
          </w:p>
        </w:tc>
      </w:tr>
      <w:tr w:rsidR="001E57EA" w:rsidRPr="001E57EA" w:rsidTr="00993F69">
        <w:trPr>
          <w:trHeight w:val="315"/>
        </w:trPr>
        <w:tc>
          <w:tcPr>
            <w:tcW w:w="2411" w:type="dxa"/>
            <w:tcBorders>
              <w:top w:val="nil"/>
              <w:left w:val="single" w:sz="8" w:space="0" w:color="auto"/>
              <w:bottom w:val="single" w:sz="8" w:space="0" w:color="auto"/>
              <w:right w:val="single" w:sz="8" w:space="0" w:color="auto"/>
            </w:tcBorders>
            <w:shd w:val="clear" w:color="000000" w:fill="FBE4D5"/>
            <w:vAlign w:val="center"/>
            <w:hideMark/>
          </w:tcPr>
          <w:p w:rsidR="00AA1A57" w:rsidRPr="001E57EA" w:rsidRDefault="00AA1A57"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Ukupno iz strateškog dokumenta**</w:t>
            </w:r>
          </w:p>
        </w:tc>
        <w:tc>
          <w:tcPr>
            <w:tcW w:w="1276" w:type="dxa"/>
            <w:tcBorders>
              <w:top w:val="single" w:sz="8" w:space="0" w:color="auto"/>
              <w:left w:val="nil"/>
              <w:bottom w:val="single" w:sz="8" w:space="0" w:color="auto"/>
              <w:right w:val="single" w:sz="8" w:space="0" w:color="000000"/>
            </w:tcBorders>
            <w:shd w:val="clear" w:color="000000" w:fill="FBE4D5"/>
            <w:vAlign w:val="center"/>
            <w:hideMark/>
          </w:tcPr>
          <w:p w:rsidR="00AA1A57" w:rsidRPr="001E57EA" w:rsidRDefault="00AA1A57"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100%</w:t>
            </w:r>
          </w:p>
        </w:tc>
        <w:tc>
          <w:tcPr>
            <w:tcW w:w="1417" w:type="dxa"/>
            <w:tcBorders>
              <w:top w:val="nil"/>
              <w:left w:val="nil"/>
              <w:bottom w:val="single" w:sz="8" w:space="0" w:color="auto"/>
              <w:right w:val="single" w:sz="8" w:space="0" w:color="auto"/>
            </w:tcBorders>
            <w:shd w:val="clear" w:color="000000" w:fill="FBE4D5"/>
            <w:vAlign w:val="center"/>
            <w:hideMark/>
          </w:tcPr>
          <w:p w:rsidR="00AA1A57" w:rsidRPr="001E57EA" w:rsidRDefault="00E612C3" w:rsidP="00AA1A57">
            <w:pPr>
              <w:spacing w:after="0"/>
              <w:jc w:val="right"/>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100%</w:t>
            </w:r>
            <w:r w:rsidR="00AA1A57" w:rsidRPr="001E57EA">
              <w:rPr>
                <w:rFonts w:ascii="Arial" w:eastAsia="Times New Roman" w:hAnsi="Arial"/>
                <w:b/>
                <w:bCs/>
                <w:sz w:val="16"/>
                <w:szCs w:val="16"/>
                <w:lang w:val="sr-Latn-BA" w:eastAsia="en-GB"/>
              </w:rPr>
              <w:t> </w:t>
            </w:r>
          </w:p>
        </w:tc>
        <w:tc>
          <w:tcPr>
            <w:tcW w:w="1418" w:type="dxa"/>
            <w:tcBorders>
              <w:top w:val="single" w:sz="8" w:space="0" w:color="auto"/>
              <w:left w:val="nil"/>
              <w:bottom w:val="single" w:sz="8" w:space="0" w:color="auto"/>
              <w:right w:val="single" w:sz="8" w:space="0" w:color="000000"/>
            </w:tcBorders>
            <w:shd w:val="clear" w:color="000000" w:fill="FBE4D5"/>
            <w:vAlign w:val="center"/>
            <w:hideMark/>
          </w:tcPr>
          <w:p w:rsidR="00AA1A57" w:rsidRPr="001E57EA" w:rsidRDefault="00F33E6F" w:rsidP="00F33E6F">
            <w:pPr>
              <w:spacing w:after="0"/>
              <w:jc w:val="right"/>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55</w:t>
            </w:r>
            <w:r w:rsidR="00E612C3" w:rsidRPr="001E57EA">
              <w:rPr>
                <w:rFonts w:ascii="Arial" w:eastAsia="Times New Roman" w:hAnsi="Arial"/>
                <w:b/>
                <w:bCs/>
                <w:sz w:val="16"/>
                <w:szCs w:val="16"/>
                <w:lang w:val="sr-Latn-BA" w:eastAsia="en-GB"/>
              </w:rPr>
              <w:t>,</w:t>
            </w:r>
            <w:r w:rsidRPr="001E57EA">
              <w:rPr>
                <w:rFonts w:ascii="Arial" w:eastAsia="Times New Roman" w:hAnsi="Arial"/>
                <w:b/>
                <w:bCs/>
                <w:sz w:val="16"/>
                <w:szCs w:val="16"/>
                <w:lang w:val="sr-Latn-BA" w:eastAsia="en-GB"/>
              </w:rPr>
              <w:t>24</w:t>
            </w:r>
            <w:r w:rsidR="00E612C3" w:rsidRPr="001E57EA">
              <w:rPr>
                <w:rFonts w:ascii="Arial" w:eastAsia="Times New Roman" w:hAnsi="Arial"/>
                <w:b/>
                <w:bCs/>
                <w:sz w:val="16"/>
                <w:szCs w:val="16"/>
                <w:lang w:val="sr-Latn-BA" w:eastAsia="en-GB"/>
              </w:rPr>
              <w:t>%</w:t>
            </w:r>
            <w:r w:rsidR="00AA1A57" w:rsidRPr="001E57EA">
              <w:rPr>
                <w:rFonts w:ascii="Arial" w:eastAsia="Times New Roman" w:hAnsi="Arial"/>
                <w:b/>
                <w:bCs/>
                <w:sz w:val="16"/>
                <w:szCs w:val="16"/>
                <w:lang w:val="en-GB" w:eastAsia="en-GB"/>
              </w:rPr>
              <w:t> </w:t>
            </w:r>
          </w:p>
        </w:tc>
        <w:tc>
          <w:tcPr>
            <w:tcW w:w="1275" w:type="dxa"/>
            <w:tcBorders>
              <w:top w:val="nil"/>
              <w:left w:val="nil"/>
              <w:bottom w:val="single" w:sz="8" w:space="0" w:color="auto"/>
              <w:right w:val="single" w:sz="8" w:space="0" w:color="auto"/>
            </w:tcBorders>
            <w:shd w:val="clear" w:color="000000" w:fill="FBE4D5"/>
            <w:vAlign w:val="center"/>
            <w:hideMark/>
          </w:tcPr>
          <w:p w:rsidR="00AA1A57" w:rsidRPr="001E57EA" w:rsidRDefault="00F33E6F" w:rsidP="00F33E6F">
            <w:pPr>
              <w:spacing w:after="0"/>
              <w:jc w:val="right"/>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44</w:t>
            </w:r>
            <w:r w:rsidR="00E612C3" w:rsidRPr="001E57EA">
              <w:rPr>
                <w:rFonts w:ascii="Arial" w:eastAsia="Times New Roman" w:hAnsi="Arial"/>
                <w:b/>
                <w:bCs/>
                <w:sz w:val="16"/>
                <w:szCs w:val="16"/>
                <w:lang w:val="sr-Latn-BA" w:eastAsia="en-GB"/>
              </w:rPr>
              <w:t>,</w:t>
            </w:r>
            <w:r w:rsidRPr="001E57EA">
              <w:rPr>
                <w:rFonts w:ascii="Arial" w:eastAsia="Times New Roman" w:hAnsi="Arial"/>
                <w:b/>
                <w:bCs/>
                <w:sz w:val="16"/>
                <w:szCs w:val="16"/>
                <w:lang w:val="sr-Latn-BA" w:eastAsia="en-GB"/>
              </w:rPr>
              <w:t>76</w:t>
            </w:r>
            <w:r w:rsidR="00E612C3" w:rsidRPr="001E57EA">
              <w:rPr>
                <w:rFonts w:ascii="Arial" w:eastAsia="Times New Roman" w:hAnsi="Arial"/>
                <w:b/>
                <w:bCs/>
                <w:sz w:val="16"/>
                <w:szCs w:val="16"/>
                <w:lang w:val="sr-Latn-BA" w:eastAsia="en-GB"/>
              </w:rPr>
              <w:t>%</w:t>
            </w:r>
            <w:r w:rsidR="00AA1A57" w:rsidRPr="001E57EA">
              <w:rPr>
                <w:rFonts w:ascii="Arial" w:eastAsia="Times New Roman" w:hAnsi="Arial"/>
                <w:b/>
                <w:bCs/>
                <w:sz w:val="16"/>
                <w:szCs w:val="16"/>
                <w:lang w:val="sr-Latn-BA" w:eastAsia="en-GB"/>
              </w:rPr>
              <w:t> </w:t>
            </w:r>
          </w:p>
        </w:tc>
        <w:tc>
          <w:tcPr>
            <w:tcW w:w="2268" w:type="dxa"/>
            <w:tcBorders>
              <w:top w:val="single" w:sz="8" w:space="0" w:color="auto"/>
              <w:left w:val="nil"/>
              <w:bottom w:val="single" w:sz="8" w:space="0" w:color="auto"/>
              <w:right w:val="single" w:sz="8" w:space="0" w:color="000000"/>
            </w:tcBorders>
            <w:shd w:val="clear" w:color="000000" w:fill="FBE4D5"/>
            <w:vAlign w:val="center"/>
            <w:hideMark/>
          </w:tcPr>
          <w:p w:rsidR="00AA1A57" w:rsidRPr="001E57EA" w:rsidRDefault="00AA1A57" w:rsidP="00AA1A57">
            <w:pPr>
              <w:spacing w:after="0"/>
              <w:rPr>
                <w:rFonts w:ascii="Arial" w:eastAsia="Times New Roman" w:hAnsi="Arial"/>
                <w:sz w:val="16"/>
                <w:szCs w:val="16"/>
                <w:lang w:val="en-GB" w:eastAsia="en-GB"/>
              </w:rPr>
            </w:pPr>
            <w:r w:rsidRPr="001E57EA">
              <w:rPr>
                <w:rFonts w:ascii="Arial" w:eastAsia="Times New Roman" w:hAnsi="Arial"/>
                <w:sz w:val="16"/>
                <w:szCs w:val="16"/>
                <w:lang w:val="sr-Latn-BA" w:eastAsia="en-GB"/>
              </w:rPr>
              <w:t> </w:t>
            </w:r>
          </w:p>
        </w:tc>
      </w:tr>
      <w:tr w:rsidR="001E57EA" w:rsidRPr="001E57EA" w:rsidTr="00993F69">
        <w:trPr>
          <w:trHeight w:val="363"/>
        </w:trPr>
        <w:tc>
          <w:tcPr>
            <w:tcW w:w="10065" w:type="dxa"/>
            <w:gridSpan w:val="6"/>
            <w:tcBorders>
              <w:top w:val="single" w:sz="8" w:space="0" w:color="auto"/>
              <w:left w:val="single" w:sz="8" w:space="0" w:color="auto"/>
              <w:bottom w:val="single" w:sz="8" w:space="0" w:color="auto"/>
              <w:right w:val="single" w:sz="8" w:space="0" w:color="auto"/>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PREGLED PO IZVORIMA</w:t>
            </w:r>
          </w:p>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(iznosi u KM i procenti</w:t>
            </w:r>
            <w:r w:rsidR="00C31CB3" w:rsidRPr="001E57EA">
              <w:rPr>
                <w:rFonts w:ascii="Arial" w:eastAsia="Times New Roman" w:hAnsi="Arial"/>
                <w:b/>
                <w:bCs/>
                <w:sz w:val="16"/>
                <w:szCs w:val="16"/>
                <w:lang w:val="sr-Latn-BA" w:eastAsia="en-GB"/>
              </w:rPr>
              <w:t>ma</w:t>
            </w:r>
            <w:r w:rsidRPr="001E57EA">
              <w:rPr>
                <w:rFonts w:ascii="Arial" w:eastAsia="Times New Roman" w:hAnsi="Arial"/>
                <w:b/>
                <w:bCs/>
                <w:sz w:val="16"/>
                <w:szCs w:val="16"/>
                <w:lang w:val="sr-Latn-BA" w:eastAsia="en-GB"/>
              </w:rPr>
              <w:t>) ujednačiti kolone sa planiranjem</w:t>
            </w:r>
          </w:p>
        </w:tc>
      </w:tr>
      <w:tr w:rsidR="001E57EA" w:rsidRPr="001E57EA" w:rsidTr="00993F69">
        <w:trPr>
          <w:trHeight w:val="525"/>
        </w:trPr>
        <w:tc>
          <w:tcPr>
            <w:tcW w:w="3687"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Budžetska sredstva</w:t>
            </w:r>
          </w:p>
        </w:tc>
        <w:tc>
          <w:tcPr>
            <w:tcW w:w="1417" w:type="dxa"/>
            <w:tcBorders>
              <w:top w:val="single" w:sz="8" w:space="0" w:color="auto"/>
              <w:left w:val="single" w:sz="8" w:space="0" w:color="auto"/>
              <w:bottom w:val="single" w:sz="8" w:space="0" w:color="auto"/>
              <w:right w:val="single" w:sz="8" w:space="0" w:color="000000"/>
            </w:tcBorders>
            <w:shd w:val="clear" w:color="000000" w:fill="DEEAF6"/>
            <w:vAlign w:val="center"/>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Kreditna sredstva</w:t>
            </w:r>
          </w:p>
        </w:tc>
        <w:tc>
          <w:tcPr>
            <w:tcW w:w="2693" w:type="dxa"/>
            <w:gridSpan w:val="2"/>
            <w:tcBorders>
              <w:top w:val="single" w:sz="8" w:space="0" w:color="auto"/>
              <w:left w:val="nil"/>
              <w:bottom w:val="single" w:sz="8" w:space="0" w:color="auto"/>
              <w:right w:val="single" w:sz="8" w:space="0" w:color="auto"/>
            </w:tcBorders>
            <w:shd w:val="clear" w:color="000000" w:fill="DEEAF6"/>
            <w:vAlign w:val="center"/>
            <w:hideMark/>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Sredstva EU</w:t>
            </w:r>
          </w:p>
        </w:tc>
        <w:tc>
          <w:tcPr>
            <w:tcW w:w="2268" w:type="dxa"/>
            <w:tcBorders>
              <w:top w:val="single" w:sz="8" w:space="0" w:color="auto"/>
              <w:left w:val="nil"/>
              <w:bottom w:val="single" w:sz="8" w:space="0" w:color="auto"/>
              <w:right w:val="single" w:sz="8" w:space="0" w:color="auto"/>
            </w:tcBorders>
            <w:shd w:val="clear" w:color="000000" w:fill="DEEAF6"/>
            <w:vAlign w:val="center"/>
          </w:tcPr>
          <w:p w:rsidR="00993F69" w:rsidRPr="001E57EA" w:rsidRDefault="00993F69" w:rsidP="00AA1A57">
            <w:pPr>
              <w:spacing w:after="0"/>
              <w:jc w:val="center"/>
              <w:rPr>
                <w:rFonts w:ascii="Arial" w:eastAsia="Times New Roman" w:hAnsi="Arial"/>
                <w:b/>
                <w:bCs/>
                <w:sz w:val="16"/>
                <w:szCs w:val="16"/>
                <w:lang w:val="en-GB" w:eastAsia="en-GB"/>
              </w:rPr>
            </w:pPr>
            <w:r w:rsidRPr="001E57EA">
              <w:rPr>
                <w:rFonts w:ascii="Arial" w:eastAsia="Times New Roman" w:hAnsi="Arial"/>
                <w:b/>
                <w:bCs/>
                <w:sz w:val="16"/>
                <w:szCs w:val="16"/>
                <w:lang w:val="sr-Latn-BA" w:eastAsia="en-GB"/>
              </w:rPr>
              <w:t>Ostale donacije</w:t>
            </w:r>
          </w:p>
        </w:tc>
      </w:tr>
      <w:tr w:rsidR="001E57EA" w:rsidRPr="001E57EA" w:rsidTr="00993F69">
        <w:trPr>
          <w:trHeight w:val="315"/>
        </w:trPr>
        <w:tc>
          <w:tcPr>
            <w:tcW w:w="36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93F69" w:rsidRPr="001E57EA" w:rsidRDefault="00993F69"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KM</w:t>
            </w:r>
          </w:p>
        </w:tc>
        <w:tc>
          <w:tcPr>
            <w:tcW w:w="1417" w:type="dxa"/>
            <w:tcBorders>
              <w:top w:val="single" w:sz="8" w:space="0" w:color="auto"/>
              <w:left w:val="single" w:sz="8" w:space="0" w:color="auto"/>
              <w:bottom w:val="single" w:sz="8" w:space="0" w:color="auto"/>
              <w:right w:val="single" w:sz="8" w:space="0" w:color="000000"/>
            </w:tcBorders>
            <w:shd w:val="clear" w:color="000000" w:fill="FFFFFF"/>
            <w:vAlign w:val="center"/>
          </w:tcPr>
          <w:p w:rsidR="00993F69" w:rsidRPr="001E57EA" w:rsidRDefault="00993F69"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KM</w:t>
            </w:r>
          </w:p>
        </w:tc>
        <w:tc>
          <w:tcPr>
            <w:tcW w:w="2693" w:type="dxa"/>
            <w:gridSpan w:val="2"/>
            <w:tcBorders>
              <w:top w:val="single" w:sz="8" w:space="0" w:color="auto"/>
              <w:left w:val="nil"/>
              <w:bottom w:val="single" w:sz="8" w:space="0" w:color="auto"/>
              <w:right w:val="single" w:sz="8" w:space="0" w:color="auto"/>
            </w:tcBorders>
            <w:shd w:val="clear" w:color="000000" w:fill="FFFFFF"/>
            <w:vAlign w:val="center"/>
            <w:hideMark/>
          </w:tcPr>
          <w:p w:rsidR="00993F69" w:rsidRPr="001E57EA" w:rsidRDefault="00993F69"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KM</w:t>
            </w:r>
          </w:p>
        </w:tc>
        <w:tc>
          <w:tcPr>
            <w:tcW w:w="2268" w:type="dxa"/>
            <w:tcBorders>
              <w:top w:val="nil"/>
              <w:left w:val="nil"/>
              <w:bottom w:val="single" w:sz="8" w:space="0" w:color="auto"/>
              <w:right w:val="single" w:sz="8" w:space="0" w:color="auto"/>
            </w:tcBorders>
            <w:shd w:val="clear" w:color="000000" w:fill="FFFFFF"/>
            <w:vAlign w:val="center"/>
          </w:tcPr>
          <w:p w:rsidR="00993F69" w:rsidRPr="001E57EA" w:rsidRDefault="00993F69"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sr-Latn-BA" w:eastAsia="en-GB"/>
              </w:rPr>
              <w:t>KM</w:t>
            </w:r>
          </w:p>
        </w:tc>
      </w:tr>
      <w:tr w:rsidR="001E57EA" w:rsidRPr="001E57EA" w:rsidTr="00993F69">
        <w:trPr>
          <w:trHeight w:val="315"/>
        </w:trPr>
        <w:tc>
          <w:tcPr>
            <w:tcW w:w="36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93F69" w:rsidRPr="001E57EA" w:rsidRDefault="00F5454D" w:rsidP="00F5454D">
            <w:pPr>
              <w:spacing w:after="0"/>
              <w:jc w:val="center"/>
              <w:rPr>
                <w:rFonts w:ascii="Arial" w:eastAsia="Times New Roman" w:hAnsi="Arial"/>
                <w:sz w:val="16"/>
                <w:szCs w:val="16"/>
                <w:lang w:val="en-GB" w:eastAsia="en-GB"/>
              </w:rPr>
            </w:pPr>
            <w:r w:rsidRPr="001E57EA">
              <w:rPr>
                <w:rFonts w:ascii="Arial" w:eastAsia="Times New Roman" w:hAnsi="Arial"/>
                <w:sz w:val="16"/>
                <w:szCs w:val="16"/>
                <w:lang w:val="bs-Latn-BA" w:eastAsia="en-GB"/>
              </w:rPr>
              <w:t>55</w:t>
            </w:r>
            <w:r w:rsidR="00993F69" w:rsidRPr="001E57EA">
              <w:rPr>
                <w:rFonts w:ascii="Arial" w:eastAsia="Times New Roman" w:hAnsi="Arial"/>
                <w:sz w:val="16"/>
                <w:szCs w:val="16"/>
                <w:lang w:val="bs-Latn-BA" w:eastAsia="en-GB"/>
              </w:rPr>
              <w:t>,</w:t>
            </w:r>
            <w:r w:rsidRPr="001E57EA">
              <w:rPr>
                <w:rFonts w:ascii="Arial" w:eastAsia="Times New Roman" w:hAnsi="Arial"/>
                <w:sz w:val="16"/>
                <w:szCs w:val="16"/>
                <w:lang w:val="bs-Latn-BA" w:eastAsia="en-GB"/>
              </w:rPr>
              <w:t>24</w:t>
            </w:r>
            <w:r w:rsidR="00993F69" w:rsidRPr="001E57EA">
              <w:rPr>
                <w:rFonts w:ascii="Arial" w:eastAsia="Times New Roman" w:hAnsi="Arial"/>
                <w:sz w:val="16"/>
                <w:szCs w:val="16"/>
                <w:lang w:val="bs-Latn-BA" w:eastAsia="en-GB"/>
              </w:rPr>
              <w:t>%</w:t>
            </w:r>
          </w:p>
        </w:tc>
        <w:tc>
          <w:tcPr>
            <w:tcW w:w="1417" w:type="dxa"/>
            <w:tcBorders>
              <w:top w:val="single" w:sz="8" w:space="0" w:color="auto"/>
              <w:left w:val="single" w:sz="8" w:space="0" w:color="auto"/>
              <w:bottom w:val="single" w:sz="8" w:space="0" w:color="auto"/>
              <w:right w:val="single" w:sz="8" w:space="0" w:color="000000"/>
            </w:tcBorders>
            <w:shd w:val="clear" w:color="000000" w:fill="FFFFFF"/>
            <w:vAlign w:val="center"/>
          </w:tcPr>
          <w:p w:rsidR="00993F69" w:rsidRPr="001E57EA" w:rsidRDefault="00993F69"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bs-Latn-BA" w:eastAsia="en-GB"/>
              </w:rPr>
              <w:t>0%</w:t>
            </w:r>
          </w:p>
        </w:tc>
        <w:tc>
          <w:tcPr>
            <w:tcW w:w="2693" w:type="dxa"/>
            <w:gridSpan w:val="2"/>
            <w:tcBorders>
              <w:top w:val="single" w:sz="8" w:space="0" w:color="auto"/>
              <w:left w:val="nil"/>
              <w:bottom w:val="single" w:sz="8" w:space="0" w:color="auto"/>
              <w:right w:val="single" w:sz="8" w:space="0" w:color="auto"/>
            </w:tcBorders>
            <w:shd w:val="clear" w:color="000000" w:fill="FFFFFF"/>
            <w:vAlign w:val="center"/>
            <w:hideMark/>
          </w:tcPr>
          <w:p w:rsidR="00993F69" w:rsidRPr="001E57EA" w:rsidRDefault="00993F69" w:rsidP="00AA1A57">
            <w:pPr>
              <w:spacing w:after="0"/>
              <w:jc w:val="center"/>
              <w:rPr>
                <w:rFonts w:ascii="Arial" w:eastAsia="Times New Roman" w:hAnsi="Arial"/>
                <w:sz w:val="16"/>
                <w:szCs w:val="16"/>
                <w:lang w:val="en-GB" w:eastAsia="en-GB"/>
              </w:rPr>
            </w:pPr>
            <w:r w:rsidRPr="001E57EA">
              <w:rPr>
                <w:rFonts w:ascii="Arial" w:eastAsia="Times New Roman" w:hAnsi="Arial"/>
                <w:sz w:val="16"/>
                <w:szCs w:val="16"/>
                <w:lang w:val="bs-Latn-BA" w:eastAsia="en-GB"/>
              </w:rPr>
              <w:t>0%</w:t>
            </w:r>
          </w:p>
        </w:tc>
        <w:tc>
          <w:tcPr>
            <w:tcW w:w="2268" w:type="dxa"/>
            <w:tcBorders>
              <w:top w:val="nil"/>
              <w:left w:val="nil"/>
              <w:bottom w:val="single" w:sz="8" w:space="0" w:color="auto"/>
              <w:right w:val="single" w:sz="8" w:space="0" w:color="auto"/>
            </w:tcBorders>
            <w:shd w:val="clear" w:color="000000" w:fill="FFFFFF"/>
            <w:vAlign w:val="center"/>
          </w:tcPr>
          <w:p w:rsidR="00993F69" w:rsidRPr="001E57EA" w:rsidRDefault="00F5454D" w:rsidP="00F5454D">
            <w:pPr>
              <w:spacing w:after="0"/>
              <w:jc w:val="center"/>
              <w:rPr>
                <w:rFonts w:ascii="Arial" w:eastAsia="Times New Roman" w:hAnsi="Arial"/>
                <w:sz w:val="16"/>
                <w:szCs w:val="16"/>
                <w:lang w:val="en-GB" w:eastAsia="en-GB"/>
              </w:rPr>
            </w:pPr>
            <w:r w:rsidRPr="001E57EA">
              <w:rPr>
                <w:rFonts w:ascii="Arial" w:eastAsia="Times New Roman" w:hAnsi="Arial"/>
                <w:sz w:val="16"/>
                <w:szCs w:val="16"/>
                <w:lang w:val="bs-Latn-BA" w:eastAsia="en-GB"/>
              </w:rPr>
              <w:t>44</w:t>
            </w:r>
            <w:r w:rsidR="00993F69" w:rsidRPr="001E57EA">
              <w:rPr>
                <w:rFonts w:ascii="Arial" w:eastAsia="Times New Roman" w:hAnsi="Arial"/>
                <w:sz w:val="16"/>
                <w:szCs w:val="16"/>
                <w:lang w:val="bs-Latn-BA" w:eastAsia="en-GB"/>
              </w:rPr>
              <w:t>,</w:t>
            </w:r>
            <w:r w:rsidRPr="001E57EA">
              <w:rPr>
                <w:rFonts w:ascii="Arial" w:eastAsia="Times New Roman" w:hAnsi="Arial"/>
                <w:sz w:val="16"/>
                <w:szCs w:val="16"/>
                <w:lang w:val="bs-Latn-BA" w:eastAsia="en-GB"/>
              </w:rPr>
              <w:t>76</w:t>
            </w:r>
            <w:r w:rsidR="00993F69" w:rsidRPr="001E57EA">
              <w:rPr>
                <w:rFonts w:ascii="Arial" w:eastAsia="Times New Roman" w:hAnsi="Arial"/>
                <w:sz w:val="16"/>
                <w:szCs w:val="16"/>
                <w:lang w:val="bs-Latn-BA" w:eastAsia="en-GB"/>
              </w:rPr>
              <w:t>%</w:t>
            </w:r>
          </w:p>
        </w:tc>
      </w:tr>
    </w:tbl>
    <w:p w:rsidR="0045691C" w:rsidRPr="001E57EA" w:rsidRDefault="0045691C" w:rsidP="00AA1A57">
      <w:pPr>
        <w:pStyle w:val="Napomena"/>
        <w:rPr>
          <w:lang w:val="en-US"/>
        </w:rPr>
      </w:pPr>
    </w:p>
    <w:p w:rsidR="00E14C3E" w:rsidRPr="001E57EA" w:rsidRDefault="00E14C3E" w:rsidP="00AA1A57">
      <w:pPr>
        <w:pStyle w:val="Napomena"/>
        <w:rPr>
          <w:sz w:val="18"/>
          <w:szCs w:val="18"/>
        </w:rPr>
      </w:pPr>
      <w:r w:rsidRPr="001E57EA">
        <w:rPr>
          <w:sz w:val="18"/>
          <w:szCs w:val="18"/>
        </w:rPr>
        <w:t xml:space="preserve">* Struktura učešća finansiranja (u %) prioriteta i strateških ciljeva u ukupnom iznosu finansiranja strateškog dokumenta. </w:t>
      </w:r>
    </w:p>
    <w:p w:rsidR="00E14C3E" w:rsidRPr="001E57EA" w:rsidRDefault="00E14C3E" w:rsidP="00AA1A57">
      <w:pPr>
        <w:pStyle w:val="Napomena"/>
        <w:rPr>
          <w:sz w:val="18"/>
          <w:szCs w:val="18"/>
        </w:rPr>
      </w:pPr>
      <w:r w:rsidRPr="001E57EA">
        <w:rPr>
          <w:rFonts w:eastAsia="MS PGothic"/>
          <w:b/>
          <w:sz w:val="18"/>
          <w:szCs w:val="18"/>
        </w:rPr>
        <w:t xml:space="preserve">** </w:t>
      </w:r>
      <w:r w:rsidRPr="001E57EA">
        <w:rPr>
          <w:sz w:val="18"/>
          <w:szCs w:val="18"/>
        </w:rPr>
        <w:t xml:space="preserve">Struktura finansiranja po izvorima finansiranja. </w:t>
      </w:r>
    </w:p>
    <w:p w:rsidR="00E14C3E" w:rsidRPr="001E57EA" w:rsidRDefault="00E14C3E" w:rsidP="00AA1A57">
      <w:pPr>
        <w:pStyle w:val="Napomena"/>
        <w:rPr>
          <w:sz w:val="18"/>
          <w:szCs w:val="18"/>
        </w:rPr>
      </w:pPr>
      <w:r w:rsidRPr="001E57EA">
        <w:rPr>
          <w:sz w:val="18"/>
          <w:szCs w:val="18"/>
        </w:rPr>
        <w:t>Napomena: Sredstva za finansiranje strateškog dokumenta se zasnivaju na projekcijama dostupnih i očekivanih finansijskih sredstava u moment</w:t>
      </w:r>
      <w:r w:rsidR="00AA1A57" w:rsidRPr="001E57EA">
        <w:rPr>
          <w:sz w:val="18"/>
          <w:szCs w:val="18"/>
        </w:rPr>
        <w:t xml:space="preserve">u izrade strateškog dokumenta. </w:t>
      </w:r>
    </w:p>
    <w:p w:rsidR="00AC7208" w:rsidRPr="001E57EA" w:rsidRDefault="00AC7208" w:rsidP="00390729">
      <w:pPr>
        <w:pStyle w:val="1naslov"/>
        <w:rPr>
          <w:color w:val="auto"/>
        </w:rPr>
      </w:pPr>
      <w:bookmarkStart w:id="34" w:name="_Toc145323830"/>
      <w:r w:rsidRPr="001E57EA">
        <w:rPr>
          <w:color w:val="auto"/>
        </w:rPr>
        <w:lastRenderedPageBreak/>
        <w:t>Evaluacija, implementacija, monitoring i izvještavanje</w:t>
      </w:r>
      <w:bookmarkEnd w:id="34"/>
    </w:p>
    <w:p w:rsidR="00AC7208" w:rsidRPr="001E57EA" w:rsidRDefault="00AC7208" w:rsidP="00AC7208">
      <w:pPr>
        <w:pStyle w:val="2naslov"/>
        <w:rPr>
          <w:rFonts w:cs="Arial"/>
        </w:rPr>
      </w:pPr>
      <w:bookmarkStart w:id="35" w:name="_Toc145323831"/>
      <w:r w:rsidRPr="001E57EA">
        <w:rPr>
          <w:rFonts w:cs="Arial"/>
        </w:rPr>
        <w:t>Evaluacija</w:t>
      </w:r>
      <w:bookmarkEnd w:id="35"/>
    </w:p>
    <w:p w:rsidR="00D12DCA" w:rsidRPr="001E57EA" w:rsidRDefault="00D12DCA" w:rsidP="00BF3ED5">
      <w:pPr>
        <w:pStyle w:val="TekstStrategija"/>
      </w:pPr>
      <w:r w:rsidRPr="001E57EA">
        <w:t>Prema Uredbi o evaluaciji strateških dokumenata u Federaciji BiH („Službene novine Federacije BiH“, broj: 74/19) za sve strateške dokumente u Federaciji BiH obavezne su:</w:t>
      </w:r>
    </w:p>
    <w:p w:rsidR="00D12DCA" w:rsidRPr="001E57EA" w:rsidRDefault="00D12DCA" w:rsidP="00BF3ED5">
      <w:pPr>
        <w:pStyle w:val="TekstStrategija"/>
        <w:numPr>
          <w:ilvl w:val="0"/>
          <w:numId w:val="14"/>
        </w:numPr>
      </w:pPr>
      <w:r w:rsidRPr="001E57EA">
        <w:t>Ex-ante (prethodna evaluacija) koja se radi u fazi izrade strateških dokumenata, prije njihovog usvajanja i</w:t>
      </w:r>
    </w:p>
    <w:p w:rsidR="00D12DCA" w:rsidRPr="001E57EA" w:rsidRDefault="00D12DCA" w:rsidP="00BF3ED5">
      <w:pPr>
        <w:pStyle w:val="TekstStrategija"/>
        <w:numPr>
          <w:ilvl w:val="0"/>
          <w:numId w:val="14"/>
        </w:numPr>
      </w:pPr>
      <w:r w:rsidRPr="001E57EA">
        <w:t>Evaluacija u toku koja se radi u predzadnjoj godini implementacije strateških dokumenata.</w:t>
      </w:r>
    </w:p>
    <w:p w:rsidR="00D12DCA" w:rsidRPr="001E57EA" w:rsidRDefault="00D12DCA" w:rsidP="00BF3ED5">
      <w:pPr>
        <w:pStyle w:val="TekstStrategija"/>
      </w:pPr>
      <w:r w:rsidRPr="001E57EA">
        <w:t>Ex-ante eva</w:t>
      </w:r>
      <w:r w:rsidR="00E612C3" w:rsidRPr="001E57EA">
        <w:t>luacija se radi sa ciljem unapr</w:t>
      </w:r>
      <w:r w:rsidRPr="001E57EA">
        <w:t>eđenja kvaliteta, relevantnosti i koherentnosti strateških dokumenata. Ex-ante evaluacij</w:t>
      </w:r>
      <w:r w:rsidR="006E2013" w:rsidRPr="001E57EA">
        <w:t>u</w:t>
      </w:r>
      <w:r w:rsidRPr="001E57EA">
        <w:t xml:space="preserve"> Strategije </w:t>
      </w:r>
      <w:r w:rsidR="006E2013" w:rsidRPr="001E57EA">
        <w:t xml:space="preserve">uradio je </w:t>
      </w:r>
      <w:r w:rsidR="00E612C3" w:rsidRPr="001E57EA">
        <w:t>nezavisn</w:t>
      </w:r>
      <w:r w:rsidR="006E2013" w:rsidRPr="001E57EA">
        <w:t>i</w:t>
      </w:r>
      <w:r w:rsidR="00E612C3" w:rsidRPr="001E57EA">
        <w:t xml:space="preserve"> evaluator </w:t>
      </w:r>
      <w:r w:rsidR="00432FB6" w:rsidRPr="001E57EA">
        <w:t xml:space="preserve">i pripremio </w:t>
      </w:r>
      <w:r w:rsidR="00E612C3" w:rsidRPr="001E57EA">
        <w:t>Izvještaj o obavljenoj ex-ante evaluaciji Strategije.</w:t>
      </w:r>
    </w:p>
    <w:p w:rsidR="00AC7208" w:rsidRPr="001E57EA" w:rsidRDefault="00D12DCA" w:rsidP="00BF3ED5">
      <w:pPr>
        <w:pStyle w:val="TekstStrategija"/>
      </w:pPr>
      <w:r w:rsidRPr="001E57EA">
        <w:t xml:space="preserve">Evaluacija u toku se radi sa ciljem utvrđivanja stepena implementacije strateških dokumenata, te efektivnosti i efikasnosti planiranih mjera i rezultata prema zacrtanim ciljevima i očekivanjima, kao i sumiranja rezultata i </w:t>
      </w:r>
      <w:r w:rsidR="005B3D01" w:rsidRPr="001E57EA">
        <w:t xml:space="preserve">osiguranja </w:t>
      </w:r>
      <w:r w:rsidRPr="001E57EA">
        <w:t>ulaznih elemenata za strateške dokumente za sljedeći planski ciklus.</w:t>
      </w:r>
      <w:r w:rsidR="00DA5702" w:rsidRPr="001E57EA">
        <w:t xml:space="preserve"> </w:t>
      </w:r>
      <w:r w:rsidRPr="001E57EA">
        <w:t>Evaluacija u toku će se raditi u predzadnjoj g</w:t>
      </w:r>
      <w:r w:rsidR="00A80D04" w:rsidRPr="001E57EA">
        <w:t>odini implementacije Strategije.</w:t>
      </w:r>
    </w:p>
    <w:p w:rsidR="00AC7208" w:rsidRPr="001E57EA" w:rsidRDefault="00AC7208" w:rsidP="00AC7208">
      <w:pPr>
        <w:pStyle w:val="2naslov"/>
        <w:rPr>
          <w:rFonts w:cs="Arial"/>
        </w:rPr>
      </w:pPr>
      <w:bookmarkStart w:id="36" w:name="_Toc145323832"/>
      <w:r w:rsidRPr="001E57EA">
        <w:rPr>
          <w:rFonts w:cs="Arial"/>
        </w:rPr>
        <w:t>Implementacija</w:t>
      </w:r>
      <w:bookmarkEnd w:id="36"/>
    </w:p>
    <w:p w:rsidR="00DA5702" w:rsidRPr="001E57EA" w:rsidRDefault="00DA5702" w:rsidP="00BF3ED5">
      <w:pPr>
        <w:pStyle w:val="TekstStrategija"/>
      </w:pPr>
      <w:r w:rsidRPr="001E57EA">
        <w:t xml:space="preserve">Implementacija Strategije </w:t>
      </w:r>
      <w:r w:rsidR="002257E1" w:rsidRPr="001E57EA">
        <w:t>za prevenciju i borbu protiv nasilja u porodici</w:t>
      </w:r>
      <w:r w:rsidR="00432FB6" w:rsidRPr="001E57EA">
        <w:t xml:space="preserve"> </w:t>
      </w:r>
      <w:r w:rsidRPr="001E57EA">
        <w:t>202</w:t>
      </w:r>
      <w:r w:rsidR="00432FB6" w:rsidRPr="001E57EA">
        <w:t>4</w:t>
      </w:r>
      <w:r w:rsidRPr="001E57EA">
        <w:t>-2027</w:t>
      </w:r>
      <w:r w:rsidR="00A61456" w:rsidRPr="001E57EA">
        <w:t>.</w:t>
      </w:r>
      <w:r w:rsidRPr="001E57EA">
        <w:t xml:space="preserve"> vrši</w:t>
      </w:r>
      <w:r w:rsidR="00F37081" w:rsidRPr="001E57EA">
        <w:t xml:space="preserve">t </w:t>
      </w:r>
      <w:r w:rsidRPr="001E57EA">
        <w:t>će se putem trogodišnjih i godišnjih planova rada organa uprave na svim nivoima vlasti u Federaciji BiH. Način izrade trogodišnjih i godišnjih planova rada propisan je Uredb</w:t>
      </w:r>
      <w:r w:rsidR="00C01120" w:rsidRPr="001E57EA">
        <w:t>om</w:t>
      </w:r>
      <w:r w:rsidRPr="001E57EA">
        <w:t xml:space="preserve"> o trogodišnjem i godišnjem planiranju rada, monitoringu i izvještavanju u Federaciji BiH.</w:t>
      </w:r>
    </w:p>
    <w:p w:rsidR="00DA5702" w:rsidRPr="001E57EA" w:rsidRDefault="00DA5702" w:rsidP="00BF3ED5">
      <w:pPr>
        <w:pStyle w:val="TekstStrategija"/>
      </w:pPr>
      <w:r w:rsidRPr="001E57EA">
        <w:t>Prilikom izrade trogodišnjeg plana rada, organi uprave imaju obavezu preuzeti relevantne mjere iz Strategije za čiju implementaciju su nadležni sa pripadajućim indikatorima, kao i polazne i ciljne vrijednosti indikatora za svaku godinu trogodišnjeg razdoblja.</w:t>
      </w:r>
    </w:p>
    <w:p w:rsidR="00DA5702" w:rsidRPr="001E57EA" w:rsidRDefault="00DA5702" w:rsidP="00BF3ED5">
      <w:pPr>
        <w:pStyle w:val="TekstStrategija"/>
      </w:pPr>
      <w:r w:rsidRPr="001E57EA">
        <w:t>U godišnji plan rada organi uprave svih nivoa vlasti preuzimaju odabrane programe</w:t>
      </w:r>
      <w:r w:rsidR="00C01120" w:rsidRPr="001E57EA">
        <w:t>/mjere</w:t>
      </w:r>
      <w:r w:rsidRPr="001E57EA">
        <w:t xml:space="preserve"> iz trogodišnjeg plana rada. Godišnji plan rada je implementacioni dokument sa aktivnostima/projektima koji će se poduzimati na godišnjem nivou</w:t>
      </w:r>
      <w:r w:rsidR="005920FC" w:rsidRPr="001E57EA">
        <w:t>,</w:t>
      </w:r>
      <w:r w:rsidRPr="001E57EA">
        <w:t xml:space="preserve"> kako bi se realizirali programi iz trogodišnjeg plana rada, te </w:t>
      </w:r>
      <w:r w:rsidR="005920FC" w:rsidRPr="001E57EA">
        <w:t xml:space="preserve">ostvarile </w:t>
      </w:r>
      <w:r w:rsidRPr="001E57EA">
        <w:t>mjere, prioriteti i strateški ciljevi iz strateškog dokumenta.</w:t>
      </w:r>
    </w:p>
    <w:p w:rsidR="00DA5702" w:rsidRPr="001E57EA" w:rsidRDefault="00DA5702" w:rsidP="00BF3ED5">
      <w:pPr>
        <w:pStyle w:val="TekstStrategija"/>
      </w:pPr>
      <w:r w:rsidRPr="001E57EA">
        <w:t xml:space="preserve">Ako organ uprave bilo kojeg nivoa vlasti, </w:t>
      </w:r>
      <w:r w:rsidR="007B4EB1" w:rsidRPr="001E57EA">
        <w:t xml:space="preserve">osim </w:t>
      </w:r>
      <w:r w:rsidR="005920FC" w:rsidRPr="001E57EA">
        <w:t xml:space="preserve">trogodišnjih i </w:t>
      </w:r>
      <w:r w:rsidR="007B4EB1" w:rsidRPr="001E57EA">
        <w:t xml:space="preserve">godišnjih </w:t>
      </w:r>
      <w:r w:rsidRPr="001E57EA">
        <w:t xml:space="preserve">planova rada, </w:t>
      </w:r>
      <w:r w:rsidR="007B4EB1" w:rsidRPr="001E57EA">
        <w:t xml:space="preserve">provodi </w:t>
      </w:r>
      <w:r w:rsidRPr="001E57EA">
        <w:t>i akcione planove za implementaciju strateških dokumenta, obaveza je da se aktivnosti iz akcionih planova evidentiraju u godišnjim planovima rada</w:t>
      </w:r>
      <w:r w:rsidR="00262157" w:rsidRPr="001E57EA">
        <w:t>.</w:t>
      </w:r>
    </w:p>
    <w:p w:rsidR="00A53960" w:rsidRPr="001E57EA" w:rsidRDefault="00A53960" w:rsidP="00BF3ED5">
      <w:pPr>
        <w:pStyle w:val="TekstStrategija"/>
      </w:pPr>
      <w:r w:rsidRPr="001E57EA">
        <w:lastRenderedPageBreak/>
        <w:t>Nakon usvajanja Strategije</w:t>
      </w:r>
      <w:r w:rsidR="00262157" w:rsidRPr="001E57EA">
        <w:t>,</w:t>
      </w:r>
      <w:r w:rsidRPr="001E57EA">
        <w:t xml:space="preserve"> Vlada Federacije Bosne i Hercegovine će imenovati posebno tijelo za praćenje provedbe Strategije. Ovo tijelo će imati ulogu planiranja i izvještavanja u procesu implementacije Strategije, </w:t>
      </w:r>
      <w:r w:rsidR="00C01120" w:rsidRPr="001E57EA">
        <w:t xml:space="preserve">te će o svom radu donijeti poseban akt. </w:t>
      </w:r>
    </w:p>
    <w:p w:rsidR="00AC7208" w:rsidRPr="001E57EA" w:rsidRDefault="00AC7208" w:rsidP="00AC7208">
      <w:pPr>
        <w:pStyle w:val="2naslov"/>
        <w:rPr>
          <w:rFonts w:cs="Arial"/>
        </w:rPr>
      </w:pPr>
      <w:bookmarkStart w:id="37" w:name="_Toc145323833"/>
      <w:r w:rsidRPr="001E57EA">
        <w:rPr>
          <w:rFonts w:cs="Arial"/>
        </w:rPr>
        <w:t>Monitoring</w:t>
      </w:r>
      <w:r w:rsidR="00ED4FC1" w:rsidRPr="001E57EA">
        <w:rPr>
          <w:rFonts w:cs="Arial"/>
        </w:rPr>
        <w:t xml:space="preserve"> i izvještavanje</w:t>
      </w:r>
      <w:bookmarkEnd w:id="37"/>
    </w:p>
    <w:p w:rsidR="00DA5702" w:rsidRPr="001E57EA" w:rsidRDefault="00DA5702" w:rsidP="00BF3ED5">
      <w:pPr>
        <w:pStyle w:val="TekstStrategija"/>
      </w:pPr>
      <w:r w:rsidRPr="001E57EA">
        <w:t>Monitoring predstavlja sistematično i kontinuirano prikupljanje, analiziranje i korištenje podataka i indikatora radi mjerenja n</w:t>
      </w:r>
      <w:r w:rsidR="00F37081" w:rsidRPr="001E57EA">
        <w:t>apretka realizacije Strategije</w:t>
      </w:r>
      <w:r w:rsidRPr="001E57EA">
        <w:t>, u svrhu preduzimanja odgovarajućih mjera radi eventualnih korekcija i izvještavanja o ostvarenim rezultatima.</w:t>
      </w:r>
    </w:p>
    <w:p w:rsidR="008C39F9" w:rsidRPr="001E57EA" w:rsidRDefault="00DA5702" w:rsidP="00BF3ED5">
      <w:pPr>
        <w:pStyle w:val="TekstStrategija"/>
      </w:pPr>
      <w:r w:rsidRPr="001E57EA">
        <w:t>Za uspješnu provedbu monitoringa</w:t>
      </w:r>
      <w:r w:rsidR="005920FC" w:rsidRPr="001E57EA">
        <w:t>,</w:t>
      </w:r>
      <w:r w:rsidRPr="001E57EA">
        <w:t xml:space="preserve"> sve organizacione jedinice u federalnom organu uprave, kantonalnom organu uprave, odnosno u općinskom/gradskom organu uprave</w:t>
      </w:r>
      <w:r w:rsidR="005920FC" w:rsidRPr="001E57EA">
        <w:t>,</w:t>
      </w:r>
      <w:r w:rsidRPr="001E57EA">
        <w:t xml:space="preserve"> trebaju uspostaviti i redovno ažurirati evidencije o implementaciji Strategije kao i </w:t>
      </w:r>
      <w:r w:rsidR="005920FC" w:rsidRPr="001E57EA">
        <w:t xml:space="preserve">indikatore </w:t>
      </w:r>
      <w:r w:rsidRPr="001E57EA">
        <w:t xml:space="preserve">ostvarenja strateških ciljeva, prioriteta i mjera iz Strategije, te </w:t>
      </w:r>
      <w:r w:rsidR="005920FC" w:rsidRPr="001E57EA">
        <w:t xml:space="preserve">indikatore </w:t>
      </w:r>
      <w:r w:rsidRPr="001E57EA">
        <w:t>iz godišnjeg plana rada.</w:t>
      </w:r>
      <w:r w:rsidR="00921AC6" w:rsidRPr="001E57EA">
        <w:t xml:space="preserve"> </w:t>
      </w:r>
      <w:r w:rsidR="00AC7208" w:rsidRPr="001E57EA">
        <w:t>Izvještavanje</w:t>
      </w:r>
      <w:r w:rsidR="008C39F9" w:rsidRPr="001E57EA">
        <w:t xml:space="preserve"> se vrši na godišnjem nivou s ciljem praćenja provođenja planiranih aktivnosti/projekata i ocjene doprinosa u ostvarivanju programa (mjera) organa i institucija na svim nivoima vlasti.</w:t>
      </w:r>
    </w:p>
    <w:p w:rsidR="00AC7208" w:rsidRPr="001E57EA" w:rsidRDefault="008C39F9" w:rsidP="00BF3ED5">
      <w:pPr>
        <w:pStyle w:val="TekstStrategija"/>
      </w:pPr>
      <w:r w:rsidRPr="001E57EA">
        <w:t>U godišnjem izvještaju o radu</w:t>
      </w:r>
      <w:r w:rsidR="00EE0599" w:rsidRPr="001E57EA">
        <w:t>,</w:t>
      </w:r>
      <w:r w:rsidRPr="001E57EA">
        <w:t xml:space="preserve"> precizno se navodi da li su i u kojoj mjeri izvršene planirane aktivnosti iz godišnjih programa rada, zatim očekivani i ostvareni rezultati, planirana i utrošena s</w:t>
      </w:r>
      <w:r w:rsidR="00C3505F" w:rsidRPr="001E57EA">
        <w:t>redstva za izvršenje aktivnosti</w:t>
      </w:r>
      <w:r w:rsidRPr="001E57EA">
        <w:t xml:space="preserve"> i za eventualno neizvršenje, razlog za neizvršenje ili djelomično izvršenje.</w:t>
      </w:r>
    </w:p>
    <w:p w:rsidR="00ED4FC1" w:rsidRPr="001E57EA" w:rsidRDefault="00ED4FC1" w:rsidP="00ED4FC1">
      <w:pPr>
        <w:pStyle w:val="TekstStrategija"/>
      </w:pPr>
      <w:r w:rsidRPr="001E57EA">
        <w:t xml:space="preserve">Gender </w:t>
      </w:r>
      <w:r w:rsidR="00C3505F" w:rsidRPr="001E57EA">
        <w:t>C</w:t>
      </w:r>
      <w:r w:rsidRPr="001E57EA">
        <w:t>entar F</w:t>
      </w:r>
      <w:r w:rsidR="00C3505F" w:rsidRPr="001E57EA">
        <w:t xml:space="preserve">ederacije </w:t>
      </w:r>
      <w:r w:rsidRPr="001E57EA">
        <w:t xml:space="preserve">BiH zajedno sa posebnim tijelom za praćenje </w:t>
      </w:r>
      <w:r w:rsidR="005920FC" w:rsidRPr="001E57EA">
        <w:t xml:space="preserve">implementacije </w:t>
      </w:r>
      <w:r w:rsidRPr="001E57EA">
        <w:t>koje će se uspostaviti nakon usvajanja Strategije</w:t>
      </w:r>
      <w:r w:rsidR="005920FC" w:rsidRPr="001E57EA">
        <w:t>,</w:t>
      </w:r>
      <w:r w:rsidRPr="001E57EA">
        <w:t xml:space="preserve"> svake godine </w:t>
      </w:r>
      <w:r w:rsidR="005920FC" w:rsidRPr="001E57EA">
        <w:t xml:space="preserve">će </w:t>
      </w:r>
      <w:r w:rsidRPr="001E57EA">
        <w:t>i</w:t>
      </w:r>
      <w:r w:rsidR="00DE1B56" w:rsidRPr="001E57EA">
        <w:t>zra</w:t>
      </w:r>
      <w:r w:rsidRPr="001E57EA">
        <w:t>đivati izvještaj o implementaciji.</w:t>
      </w:r>
    </w:p>
    <w:p w:rsidR="0022606F" w:rsidRPr="001E57EA" w:rsidRDefault="0022606F" w:rsidP="00BF3ED5">
      <w:pPr>
        <w:pStyle w:val="TekstStrategija"/>
      </w:pPr>
    </w:p>
    <w:p w:rsidR="00EB6DEF" w:rsidRPr="001E57EA" w:rsidRDefault="00EB6DEF">
      <w:pPr>
        <w:spacing w:after="0"/>
        <w:rPr>
          <w:rFonts w:ascii="Arial" w:eastAsia="Times New Roman" w:hAnsi="Arial"/>
          <w:b/>
          <w:sz w:val="44"/>
          <w:szCs w:val="32"/>
          <w:lang w:val="bs-Latn-BA"/>
        </w:rPr>
      </w:pPr>
      <w:r w:rsidRPr="001E57EA">
        <w:rPr>
          <w:lang w:val="bs-Latn-BA"/>
        </w:rPr>
        <w:br w:type="page"/>
      </w:r>
    </w:p>
    <w:p w:rsidR="00AC7208" w:rsidRPr="001E57EA" w:rsidRDefault="00AC7208" w:rsidP="00390729">
      <w:pPr>
        <w:pStyle w:val="1naslov"/>
        <w:rPr>
          <w:color w:val="auto"/>
        </w:rPr>
      </w:pPr>
      <w:bookmarkStart w:id="38" w:name="_Toc145323834"/>
      <w:r w:rsidRPr="001E57EA">
        <w:rPr>
          <w:color w:val="auto"/>
        </w:rPr>
        <w:lastRenderedPageBreak/>
        <w:t>Sažeti pregled strateškog dokumenta</w:t>
      </w:r>
      <w:bookmarkEnd w:id="38"/>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3"/>
        <w:gridCol w:w="1266"/>
        <w:gridCol w:w="3167"/>
        <w:gridCol w:w="1698"/>
        <w:gridCol w:w="1502"/>
      </w:tblGrid>
      <w:tr w:rsidR="001E57EA" w:rsidRPr="001E57EA" w:rsidTr="00841C40">
        <w:trPr>
          <w:trHeight w:val="213"/>
          <w:jc w:val="center"/>
        </w:trPr>
        <w:tc>
          <w:tcPr>
            <w:tcW w:w="5000" w:type="pct"/>
            <w:gridSpan w:val="5"/>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b/>
                <w:bCs/>
                <w:sz w:val="16"/>
                <w:szCs w:val="16"/>
              </w:rPr>
            </w:pPr>
            <w:r w:rsidRPr="001E57EA">
              <w:rPr>
                <w:rFonts w:ascii="Arial" w:hAnsi="Arial"/>
                <w:b/>
                <w:bCs/>
                <w:sz w:val="16"/>
                <w:szCs w:val="16"/>
              </w:rPr>
              <w:t>SAŽETI PREGLED STRATEŠKOG DOKUMENTA</w:t>
            </w:r>
          </w:p>
        </w:tc>
      </w:tr>
      <w:tr w:rsidR="001E57EA" w:rsidRPr="001E57EA" w:rsidTr="00805D8D">
        <w:trPr>
          <w:trHeight w:val="287"/>
          <w:jc w:val="center"/>
        </w:trPr>
        <w:tc>
          <w:tcPr>
            <w:tcW w:w="764" w:type="pct"/>
            <w:shd w:val="clear" w:color="auto" w:fill="8EAADB"/>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b/>
                <w:bCs/>
                <w:sz w:val="16"/>
                <w:szCs w:val="16"/>
                <w:lang w:val="bs-Latn-BA"/>
              </w:rPr>
            </w:pPr>
            <w:r w:rsidRPr="001E57EA">
              <w:rPr>
                <w:rFonts w:ascii="Arial" w:hAnsi="Arial"/>
                <w:b/>
                <w:bCs/>
                <w:sz w:val="16"/>
                <w:szCs w:val="16"/>
                <w:lang w:val="bs-Latn-BA"/>
              </w:rPr>
              <w:t xml:space="preserve">Redni broj i oznaka </w:t>
            </w:r>
          </w:p>
        </w:tc>
        <w:tc>
          <w:tcPr>
            <w:tcW w:w="697" w:type="pct"/>
            <w:shd w:val="clear" w:color="auto" w:fill="8EAADB"/>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b/>
                <w:bCs/>
                <w:sz w:val="16"/>
                <w:szCs w:val="16"/>
                <w:lang w:val="bs-Latn-BA"/>
              </w:rPr>
            </w:pPr>
            <w:r w:rsidRPr="001E57EA">
              <w:rPr>
                <w:rFonts w:ascii="Arial" w:hAnsi="Arial"/>
                <w:b/>
                <w:bCs/>
                <w:sz w:val="16"/>
                <w:szCs w:val="16"/>
                <w:lang w:val="bs-Latn-BA"/>
              </w:rPr>
              <w:t>NAZIV</w:t>
            </w:r>
          </w:p>
        </w:tc>
        <w:tc>
          <w:tcPr>
            <w:tcW w:w="3539" w:type="pct"/>
            <w:gridSpan w:val="3"/>
            <w:shd w:val="clear" w:color="auto" w:fill="8EAADB"/>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b/>
                <w:bCs/>
                <w:sz w:val="16"/>
                <w:szCs w:val="16"/>
                <w:lang w:val="bs-Latn-BA"/>
              </w:rPr>
            </w:pPr>
            <w:r w:rsidRPr="001E57EA">
              <w:rPr>
                <w:rFonts w:ascii="Arial" w:hAnsi="Arial"/>
                <w:b/>
                <w:bCs/>
                <w:sz w:val="16"/>
                <w:szCs w:val="16"/>
                <w:lang w:val="bs-Latn-BA"/>
              </w:rPr>
              <w:t>Indikatori i finansijski izvori</w:t>
            </w:r>
          </w:p>
        </w:tc>
      </w:tr>
      <w:tr w:rsidR="001E57EA" w:rsidRPr="001E57EA" w:rsidTr="00805D8D">
        <w:trPr>
          <w:trHeight w:val="386"/>
          <w:jc w:val="center"/>
        </w:trPr>
        <w:tc>
          <w:tcPr>
            <w:tcW w:w="764" w:type="pct"/>
            <w:vMerge w:val="restart"/>
            <w:shd w:val="clear" w:color="auto" w:fill="DEEAF6"/>
            <w:tcMar>
              <w:top w:w="0" w:type="dxa"/>
              <w:left w:w="108" w:type="dxa"/>
              <w:bottom w:w="0" w:type="dxa"/>
              <w:right w:w="108" w:type="dxa"/>
            </w:tcMar>
            <w:vAlign w:val="center"/>
            <w:hideMark/>
          </w:tcPr>
          <w:p w:rsidR="004E7F68" w:rsidRPr="001E57EA" w:rsidRDefault="004E7F68" w:rsidP="00F7078C">
            <w:pPr>
              <w:spacing w:before="40" w:after="40"/>
              <w:rPr>
                <w:rFonts w:ascii="Arial" w:hAnsi="Arial"/>
                <w:b/>
                <w:bCs/>
                <w:sz w:val="16"/>
                <w:szCs w:val="16"/>
                <w:lang w:val="bs-Latn-BA"/>
              </w:rPr>
            </w:pPr>
            <w:r w:rsidRPr="001E57EA">
              <w:rPr>
                <w:rFonts w:ascii="Arial" w:hAnsi="Arial"/>
                <w:b/>
                <w:bCs/>
                <w:sz w:val="16"/>
                <w:szCs w:val="16"/>
                <w:lang w:val="bs-Latn-BA"/>
              </w:rPr>
              <w:t>1. Strateški cilj</w:t>
            </w:r>
          </w:p>
        </w:tc>
        <w:tc>
          <w:tcPr>
            <w:tcW w:w="697" w:type="pct"/>
            <w:vMerge w:val="restart"/>
            <w:tcMar>
              <w:top w:w="0" w:type="dxa"/>
              <w:left w:w="108" w:type="dxa"/>
              <w:bottom w:w="0" w:type="dxa"/>
              <w:right w:w="108" w:type="dxa"/>
            </w:tcMar>
            <w:vAlign w:val="center"/>
          </w:tcPr>
          <w:p w:rsidR="004E7F68" w:rsidRPr="001E57EA" w:rsidRDefault="004E7F68" w:rsidP="00F7078C">
            <w:pPr>
              <w:spacing w:before="40" w:after="40"/>
              <w:rPr>
                <w:rFonts w:ascii="Arial" w:hAnsi="Arial"/>
                <w:sz w:val="16"/>
                <w:szCs w:val="16"/>
              </w:rPr>
            </w:pPr>
            <w:r w:rsidRPr="001E57EA">
              <w:rPr>
                <w:rFonts w:ascii="Arial" w:hAnsi="Arial"/>
                <w:sz w:val="16"/>
                <w:szCs w:val="16"/>
                <w:lang w:val="bs-Latn-BA"/>
              </w:rPr>
              <w:t>Smanjiti nasilje u porodici</w:t>
            </w: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Indikatori strateškog cilja</w:t>
            </w:r>
          </w:p>
        </w:tc>
        <w:tc>
          <w:tcPr>
            <w:tcW w:w="944"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 xml:space="preserve">Polazne vrijednosti indikatora* </w:t>
            </w:r>
          </w:p>
        </w:tc>
        <w:tc>
          <w:tcPr>
            <w:tcW w:w="835"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p>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 xml:space="preserve">Ciljne vrijednosti indikatora** </w:t>
            </w:r>
          </w:p>
          <w:p w:rsidR="004E7F68" w:rsidRPr="001E57EA" w:rsidRDefault="004E7F68" w:rsidP="00F7078C">
            <w:pPr>
              <w:spacing w:before="40" w:after="40"/>
              <w:jc w:val="center"/>
              <w:rPr>
                <w:rFonts w:ascii="Arial" w:hAnsi="Arial"/>
                <w:sz w:val="16"/>
                <w:szCs w:val="16"/>
                <w:lang w:val="bs-Latn-BA"/>
              </w:rPr>
            </w:pPr>
          </w:p>
        </w:tc>
      </w:tr>
      <w:tr w:rsidR="001E57EA" w:rsidRPr="001E57EA" w:rsidTr="00805D8D">
        <w:trPr>
          <w:trHeight w:val="386"/>
          <w:jc w:val="center"/>
        </w:trPr>
        <w:tc>
          <w:tcPr>
            <w:tcW w:w="764" w:type="pct"/>
            <w:vMerge/>
            <w:vAlign w:val="center"/>
            <w:hideMark/>
          </w:tcPr>
          <w:p w:rsidR="004E7F68" w:rsidRPr="001E57EA" w:rsidRDefault="004E7F68" w:rsidP="00F7078C">
            <w:pPr>
              <w:spacing w:before="40" w:after="40"/>
              <w:rPr>
                <w:rFonts w:ascii="Arial" w:hAnsi="Arial"/>
                <w:b/>
                <w:bCs/>
                <w:sz w:val="16"/>
                <w:szCs w:val="16"/>
                <w:lang w:val="bs-Latn-BA"/>
              </w:rPr>
            </w:pPr>
          </w:p>
        </w:tc>
        <w:tc>
          <w:tcPr>
            <w:tcW w:w="697" w:type="pct"/>
            <w:vMerge/>
            <w:vAlign w:val="center"/>
            <w:hideMark/>
          </w:tcPr>
          <w:p w:rsidR="004E7F68" w:rsidRPr="001E57EA" w:rsidRDefault="004E7F68" w:rsidP="00F7078C">
            <w:pPr>
              <w:spacing w:before="40" w:after="40"/>
              <w:rPr>
                <w:rFonts w:ascii="Arial" w:hAnsi="Arial"/>
                <w:sz w:val="16"/>
                <w:szCs w:val="16"/>
              </w:rPr>
            </w:pPr>
          </w:p>
        </w:tc>
        <w:tc>
          <w:tcPr>
            <w:tcW w:w="1760" w:type="pct"/>
            <w:shd w:val="clear" w:color="auto" w:fill="FFFFFF"/>
            <w:tcMar>
              <w:top w:w="0" w:type="dxa"/>
              <w:left w:w="108" w:type="dxa"/>
              <w:bottom w:w="0" w:type="dxa"/>
              <w:right w:w="108" w:type="dxa"/>
            </w:tcMar>
            <w:vAlign w:val="center"/>
          </w:tcPr>
          <w:p w:rsidR="004E7F68" w:rsidRPr="001E57EA" w:rsidRDefault="004E7F68" w:rsidP="00F7078C">
            <w:pPr>
              <w:spacing w:before="40" w:after="40"/>
              <w:rPr>
                <w:rFonts w:ascii="Arial" w:hAnsi="Arial"/>
                <w:sz w:val="16"/>
                <w:szCs w:val="16"/>
              </w:rPr>
            </w:pPr>
            <w:r w:rsidRPr="001E57EA">
              <w:rPr>
                <w:rFonts w:ascii="Arial" w:hAnsi="Arial"/>
                <w:sz w:val="16"/>
                <w:szCs w:val="16"/>
              </w:rPr>
              <w:t>% žena koje su u posljednjih 12 mjeseci doživjele neki oblik nasilja</w:t>
            </w:r>
          </w:p>
        </w:tc>
        <w:tc>
          <w:tcPr>
            <w:tcW w:w="944" w:type="pct"/>
            <w:shd w:val="clear" w:color="auto" w:fill="FFFFFF"/>
            <w:tcMar>
              <w:top w:w="0" w:type="dxa"/>
              <w:left w:w="108" w:type="dxa"/>
              <w:bottom w:w="0" w:type="dxa"/>
              <w:right w:w="108" w:type="dxa"/>
            </w:tcMar>
            <w:vAlign w:val="center"/>
          </w:tcPr>
          <w:p w:rsidR="004E7F68" w:rsidRPr="001E57EA" w:rsidRDefault="004E7F68" w:rsidP="00841C40">
            <w:pPr>
              <w:spacing w:before="40" w:after="40"/>
              <w:jc w:val="center"/>
              <w:rPr>
                <w:rFonts w:ascii="Arial" w:hAnsi="Arial"/>
                <w:sz w:val="16"/>
                <w:szCs w:val="16"/>
              </w:rPr>
            </w:pPr>
            <w:r w:rsidRPr="001E57EA">
              <w:rPr>
                <w:rFonts w:ascii="Arial" w:hAnsi="Arial"/>
                <w:sz w:val="16"/>
                <w:szCs w:val="16"/>
              </w:rPr>
              <w:t>19% (2018)</w:t>
            </w:r>
          </w:p>
        </w:tc>
        <w:tc>
          <w:tcPr>
            <w:tcW w:w="835" w:type="pct"/>
            <w:shd w:val="clear" w:color="auto" w:fill="FFFFFF"/>
            <w:tcMar>
              <w:top w:w="0" w:type="dxa"/>
              <w:left w:w="108" w:type="dxa"/>
              <w:bottom w:w="0" w:type="dxa"/>
              <w:right w:w="108" w:type="dxa"/>
            </w:tcMar>
            <w:vAlign w:val="center"/>
          </w:tcPr>
          <w:p w:rsidR="004E7F68" w:rsidRPr="001E57EA" w:rsidRDefault="004E7F68" w:rsidP="00841C40">
            <w:pPr>
              <w:spacing w:before="40" w:after="40"/>
              <w:jc w:val="center"/>
              <w:rPr>
                <w:rFonts w:ascii="Arial" w:hAnsi="Arial"/>
                <w:sz w:val="16"/>
                <w:szCs w:val="16"/>
              </w:rPr>
            </w:pPr>
            <w:r w:rsidRPr="001E57EA">
              <w:rPr>
                <w:rFonts w:ascii="Arial" w:hAnsi="Arial"/>
                <w:sz w:val="16"/>
                <w:szCs w:val="16"/>
              </w:rPr>
              <w:t>5% (2027)</w:t>
            </w:r>
          </w:p>
        </w:tc>
      </w:tr>
      <w:tr w:rsidR="001E57EA" w:rsidRPr="001E57EA" w:rsidTr="00805D8D">
        <w:trPr>
          <w:trHeight w:val="377"/>
          <w:jc w:val="center"/>
        </w:trPr>
        <w:tc>
          <w:tcPr>
            <w:tcW w:w="764" w:type="pct"/>
            <w:vMerge/>
            <w:vAlign w:val="center"/>
            <w:hideMark/>
          </w:tcPr>
          <w:p w:rsidR="004E7F68" w:rsidRPr="001E57EA" w:rsidRDefault="004E7F68" w:rsidP="00F7078C">
            <w:pPr>
              <w:spacing w:before="40" w:after="40"/>
              <w:rPr>
                <w:rFonts w:ascii="Arial" w:hAnsi="Arial"/>
                <w:b/>
                <w:bCs/>
                <w:sz w:val="16"/>
                <w:szCs w:val="16"/>
                <w:lang w:val="bs-Latn-BA"/>
              </w:rPr>
            </w:pPr>
          </w:p>
        </w:tc>
        <w:tc>
          <w:tcPr>
            <w:tcW w:w="697" w:type="pct"/>
            <w:vMerge/>
            <w:vAlign w:val="center"/>
            <w:hideMark/>
          </w:tcPr>
          <w:p w:rsidR="004E7F68" w:rsidRPr="001E57EA" w:rsidRDefault="004E7F68"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FF4B57" w:rsidRPr="001E57EA" w:rsidRDefault="00FF4B57" w:rsidP="00FF4B57">
            <w:pPr>
              <w:spacing w:before="40" w:after="40"/>
              <w:rPr>
                <w:rFonts w:ascii="Arial" w:hAnsi="Arial"/>
                <w:b/>
                <w:bCs/>
                <w:sz w:val="16"/>
                <w:szCs w:val="16"/>
                <w:lang w:val="bs-Latn-BA"/>
              </w:rPr>
            </w:pPr>
          </w:p>
        </w:tc>
        <w:tc>
          <w:tcPr>
            <w:tcW w:w="697" w:type="pct"/>
            <w:vMerge/>
            <w:vAlign w:val="center"/>
            <w:hideMark/>
          </w:tcPr>
          <w:p w:rsidR="00FF4B57" w:rsidRPr="001E57EA" w:rsidRDefault="00FF4B57" w:rsidP="00FF4B57">
            <w:pPr>
              <w:spacing w:before="40" w:after="40"/>
              <w:rPr>
                <w:rFonts w:ascii="Arial" w:hAnsi="Arial"/>
                <w:sz w:val="16"/>
                <w:szCs w:val="16"/>
              </w:rPr>
            </w:pPr>
          </w:p>
        </w:tc>
        <w:tc>
          <w:tcPr>
            <w:tcW w:w="1760" w:type="pct"/>
            <w:shd w:val="clear" w:color="auto" w:fill="FFFFFF"/>
            <w:tcMar>
              <w:top w:w="0" w:type="dxa"/>
              <w:left w:w="108" w:type="dxa"/>
              <w:bottom w:w="0" w:type="dxa"/>
              <w:right w:w="108" w:type="dxa"/>
            </w:tcMar>
            <w:vAlign w:val="center"/>
          </w:tcPr>
          <w:p w:rsidR="00FF4B57" w:rsidRPr="001E57EA" w:rsidRDefault="00F5454D" w:rsidP="00FF4B57">
            <w:pPr>
              <w:spacing w:before="40" w:after="40"/>
              <w:rPr>
                <w:rFonts w:ascii="Arial" w:hAnsi="Arial"/>
                <w:sz w:val="16"/>
                <w:szCs w:val="16"/>
                <w:lang w:val="bs-Latn-BA"/>
              </w:rPr>
            </w:pPr>
            <w:r w:rsidRPr="001E57EA">
              <w:rPr>
                <w:rFonts w:ascii="Arial" w:hAnsi="Arial"/>
                <w:sz w:val="16"/>
                <w:szCs w:val="16"/>
                <w:lang w:val="bs-Latn-BA"/>
              </w:rPr>
              <w:t>4.147.000</w:t>
            </w:r>
          </w:p>
        </w:tc>
        <w:tc>
          <w:tcPr>
            <w:tcW w:w="944" w:type="pct"/>
            <w:shd w:val="clear" w:color="auto" w:fill="FFFFFF"/>
            <w:tcMar>
              <w:top w:w="0" w:type="dxa"/>
              <w:left w:w="108" w:type="dxa"/>
              <w:bottom w:w="0" w:type="dxa"/>
              <w:right w:w="108" w:type="dxa"/>
            </w:tcMar>
            <w:vAlign w:val="center"/>
          </w:tcPr>
          <w:p w:rsidR="00FF4B57" w:rsidRPr="001E57EA" w:rsidRDefault="00F5454D" w:rsidP="00FF4B57">
            <w:pPr>
              <w:spacing w:before="40" w:after="40"/>
              <w:jc w:val="center"/>
              <w:rPr>
                <w:rFonts w:ascii="Arial" w:hAnsi="Arial"/>
                <w:sz w:val="16"/>
                <w:szCs w:val="16"/>
                <w:lang w:val="bs-Latn-BA"/>
              </w:rPr>
            </w:pPr>
            <w:r w:rsidRPr="001E57EA">
              <w:rPr>
                <w:rFonts w:ascii="Arial" w:hAnsi="Arial"/>
                <w:sz w:val="16"/>
                <w:szCs w:val="16"/>
                <w:lang w:val="bs-Latn-BA"/>
              </w:rPr>
              <w:t>3.360.000</w:t>
            </w:r>
          </w:p>
        </w:tc>
        <w:tc>
          <w:tcPr>
            <w:tcW w:w="835" w:type="pct"/>
            <w:shd w:val="clear" w:color="auto" w:fill="FFFFFF"/>
            <w:tcMar>
              <w:top w:w="0" w:type="dxa"/>
              <w:left w:w="108" w:type="dxa"/>
              <w:bottom w:w="0" w:type="dxa"/>
              <w:right w:w="108" w:type="dxa"/>
            </w:tcMar>
            <w:vAlign w:val="center"/>
          </w:tcPr>
          <w:p w:rsidR="00FF4B57" w:rsidRPr="001E57EA" w:rsidRDefault="00F5454D" w:rsidP="00FF4B57">
            <w:pPr>
              <w:spacing w:before="40" w:after="40"/>
              <w:jc w:val="center"/>
              <w:rPr>
                <w:rFonts w:ascii="Arial" w:hAnsi="Arial"/>
                <w:sz w:val="16"/>
                <w:szCs w:val="16"/>
                <w:lang w:val="bs-Latn-BA"/>
              </w:rPr>
            </w:pPr>
            <w:r w:rsidRPr="001E57EA">
              <w:rPr>
                <w:rFonts w:ascii="Arial" w:hAnsi="Arial"/>
                <w:sz w:val="16"/>
                <w:szCs w:val="16"/>
                <w:lang w:val="bs-Latn-BA"/>
              </w:rPr>
              <w:t>7.507.000</w:t>
            </w:r>
          </w:p>
        </w:tc>
      </w:tr>
      <w:tr w:rsidR="001E57EA" w:rsidRPr="001E57EA" w:rsidTr="00805D8D">
        <w:trPr>
          <w:trHeight w:val="386"/>
          <w:jc w:val="center"/>
        </w:trPr>
        <w:tc>
          <w:tcPr>
            <w:tcW w:w="764" w:type="pct"/>
            <w:vMerge w:val="restart"/>
            <w:shd w:val="clear" w:color="auto" w:fill="B4C6E7"/>
            <w:tcMar>
              <w:top w:w="0" w:type="dxa"/>
              <w:left w:w="108" w:type="dxa"/>
              <w:bottom w:w="0" w:type="dxa"/>
              <w:right w:w="108" w:type="dxa"/>
            </w:tcMar>
            <w:vAlign w:val="center"/>
          </w:tcPr>
          <w:p w:rsidR="004E7F68" w:rsidRPr="001E57EA" w:rsidRDefault="004E7F68" w:rsidP="00F7078C">
            <w:pPr>
              <w:spacing w:before="40" w:after="40"/>
              <w:rPr>
                <w:rFonts w:ascii="Arial" w:hAnsi="Arial"/>
                <w:b/>
                <w:bCs/>
                <w:sz w:val="16"/>
                <w:szCs w:val="16"/>
                <w:lang w:val="bs-Latn-BA"/>
              </w:rPr>
            </w:pPr>
            <w:r w:rsidRPr="001E57EA">
              <w:rPr>
                <w:rFonts w:ascii="Arial" w:hAnsi="Arial"/>
                <w:b/>
                <w:bCs/>
                <w:sz w:val="16"/>
                <w:szCs w:val="16"/>
                <w:lang w:val="bs-Latn-BA"/>
              </w:rPr>
              <w:t>1.1. Prioritet</w:t>
            </w:r>
          </w:p>
          <w:p w:rsidR="004E7F68" w:rsidRPr="001E57EA" w:rsidRDefault="004E7F68" w:rsidP="00F7078C">
            <w:pPr>
              <w:spacing w:before="40" w:after="40"/>
              <w:rPr>
                <w:rFonts w:ascii="Arial" w:hAnsi="Arial"/>
                <w:b/>
                <w:bCs/>
                <w:sz w:val="16"/>
                <w:szCs w:val="16"/>
                <w:lang w:val="bs-Latn-BA"/>
              </w:rPr>
            </w:pPr>
          </w:p>
        </w:tc>
        <w:tc>
          <w:tcPr>
            <w:tcW w:w="697" w:type="pct"/>
            <w:vMerge w:val="restart"/>
            <w:tcMar>
              <w:top w:w="0" w:type="dxa"/>
              <w:left w:w="108" w:type="dxa"/>
              <w:bottom w:w="0" w:type="dxa"/>
              <w:right w:w="108" w:type="dxa"/>
            </w:tcMar>
            <w:vAlign w:val="center"/>
          </w:tcPr>
          <w:p w:rsidR="004E7F68" w:rsidRPr="001E57EA" w:rsidRDefault="004E7F68" w:rsidP="00F7078C">
            <w:pPr>
              <w:spacing w:before="40" w:after="40"/>
              <w:rPr>
                <w:rFonts w:ascii="Arial" w:hAnsi="Arial"/>
                <w:sz w:val="16"/>
                <w:szCs w:val="16"/>
              </w:rPr>
            </w:pPr>
            <w:r w:rsidRPr="001E57EA">
              <w:rPr>
                <w:rFonts w:ascii="Arial" w:hAnsi="Arial"/>
                <w:sz w:val="16"/>
                <w:szCs w:val="16"/>
                <w:lang w:val="bs-Latn-BA"/>
              </w:rPr>
              <w:t>Poboljšati sistemsku prevenciju nasilja u porodici</w:t>
            </w: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Indikatori prioriteta</w:t>
            </w:r>
          </w:p>
        </w:tc>
        <w:tc>
          <w:tcPr>
            <w:tcW w:w="944"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Ciljne vrijednosti indikatora</w:t>
            </w:r>
          </w:p>
        </w:tc>
      </w:tr>
      <w:tr w:rsidR="001E57EA" w:rsidRPr="001E57EA" w:rsidTr="00805D8D">
        <w:trPr>
          <w:trHeight w:val="386"/>
          <w:jc w:val="center"/>
        </w:trPr>
        <w:tc>
          <w:tcPr>
            <w:tcW w:w="764" w:type="pct"/>
            <w:vMerge/>
            <w:vAlign w:val="center"/>
            <w:hideMark/>
          </w:tcPr>
          <w:p w:rsidR="00277382" w:rsidRPr="001E57EA" w:rsidRDefault="00277382" w:rsidP="00277382">
            <w:pPr>
              <w:spacing w:before="40" w:after="40"/>
              <w:rPr>
                <w:rFonts w:ascii="Arial" w:hAnsi="Arial"/>
                <w:b/>
                <w:bCs/>
                <w:sz w:val="16"/>
                <w:szCs w:val="16"/>
                <w:lang w:val="bs-Latn-BA"/>
              </w:rPr>
            </w:pPr>
          </w:p>
        </w:tc>
        <w:tc>
          <w:tcPr>
            <w:tcW w:w="697" w:type="pct"/>
            <w:vMerge/>
            <w:vAlign w:val="center"/>
            <w:hideMark/>
          </w:tcPr>
          <w:p w:rsidR="00277382" w:rsidRPr="001E57EA" w:rsidRDefault="00277382" w:rsidP="00277382">
            <w:pPr>
              <w:spacing w:before="40" w:after="40"/>
              <w:rPr>
                <w:rFonts w:ascii="Arial" w:hAnsi="Arial"/>
                <w:sz w:val="16"/>
                <w:szCs w:val="16"/>
              </w:rPr>
            </w:pPr>
          </w:p>
        </w:tc>
        <w:tc>
          <w:tcPr>
            <w:tcW w:w="1760" w:type="pct"/>
            <w:tcMar>
              <w:top w:w="0" w:type="dxa"/>
              <w:left w:w="108" w:type="dxa"/>
              <w:bottom w:w="0" w:type="dxa"/>
              <w:right w:w="108" w:type="dxa"/>
            </w:tcMar>
          </w:tcPr>
          <w:p w:rsidR="00277382" w:rsidRPr="001E57EA" w:rsidRDefault="00277382" w:rsidP="00277382">
            <w:pPr>
              <w:spacing w:before="40" w:after="40"/>
              <w:rPr>
                <w:rFonts w:ascii="Arial" w:hAnsi="Arial"/>
                <w:sz w:val="16"/>
                <w:szCs w:val="16"/>
                <w:lang w:val="bs-Latn-BA"/>
              </w:rPr>
            </w:pPr>
            <w:r w:rsidRPr="001E57EA">
              <w:rPr>
                <w:rFonts w:ascii="Arial" w:hAnsi="Arial"/>
                <w:sz w:val="16"/>
                <w:szCs w:val="16"/>
              </w:rPr>
              <w:t>% prijavljenih slučajeva nasilja odmah nakon doživljenog nasilja od sadašnjeg intimnog partnera</w:t>
            </w:r>
          </w:p>
        </w:tc>
        <w:tc>
          <w:tcPr>
            <w:tcW w:w="944" w:type="pct"/>
            <w:tcMar>
              <w:top w:w="0" w:type="dxa"/>
              <w:left w:w="108" w:type="dxa"/>
              <w:bottom w:w="0" w:type="dxa"/>
              <w:right w:w="108" w:type="dxa"/>
            </w:tcMar>
            <w:vAlign w:val="center"/>
          </w:tcPr>
          <w:p w:rsidR="00277382" w:rsidRPr="001E57EA" w:rsidRDefault="00277382" w:rsidP="00277382">
            <w:pPr>
              <w:spacing w:before="40" w:after="40"/>
              <w:jc w:val="center"/>
              <w:rPr>
                <w:rFonts w:ascii="Arial" w:hAnsi="Arial"/>
                <w:sz w:val="16"/>
                <w:szCs w:val="16"/>
                <w:lang w:val="bs-Latn-BA"/>
              </w:rPr>
            </w:pPr>
            <w:r w:rsidRPr="001E57EA">
              <w:rPr>
                <w:rFonts w:ascii="Arial" w:hAnsi="Arial"/>
                <w:sz w:val="16"/>
                <w:szCs w:val="16"/>
              </w:rPr>
              <w:t>5% (2018)</w:t>
            </w:r>
          </w:p>
        </w:tc>
        <w:tc>
          <w:tcPr>
            <w:tcW w:w="835" w:type="pct"/>
            <w:tcMar>
              <w:top w:w="0" w:type="dxa"/>
              <w:left w:w="108" w:type="dxa"/>
              <w:bottom w:w="0" w:type="dxa"/>
              <w:right w:w="108" w:type="dxa"/>
            </w:tcMar>
            <w:vAlign w:val="center"/>
          </w:tcPr>
          <w:p w:rsidR="00277382" w:rsidRPr="001E57EA" w:rsidRDefault="00277382" w:rsidP="00277382">
            <w:pPr>
              <w:spacing w:before="40" w:after="40"/>
              <w:jc w:val="center"/>
              <w:rPr>
                <w:rFonts w:ascii="Arial" w:hAnsi="Arial"/>
                <w:sz w:val="16"/>
                <w:szCs w:val="16"/>
                <w:lang w:val="bs-Latn-BA"/>
              </w:rPr>
            </w:pPr>
            <w:r w:rsidRPr="001E57EA">
              <w:rPr>
                <w:rFonts w:ascii="Arial" w:hAnsi="Arial"/>
                <w:sz w:val="16"/>
                <w:szCs w:val="16"/>
              </w:rPr>
              <w:t>25% (2027)</w:t>
            </w:r>
          </w:p>
        </w:tc>
      </w:tr>
      <w:tr w:rsidR="001E57EA" w:rsidRPr="001E57EA" w:rsidTr="00805D8D">
        <w:trPr>
          <w:trHeight w:val="386"/>
          <w:jc w:val="center"/>
        </w:trPr>
        <w:tc>
          <w:tcPr>
            <w:tcW w:w="764" w:type="pct"/>
            <w:vMerge/>
            <w:vAlign w:val="center"/>
          </w:tcPr>
          <w:p w:rsidR="00277382" w:rsidRPr="001E57EA" w:rsidRDefault="00277382" w:rsidP="00277382">
            <w:pPr>
              <w:spacing w:before="40" w:after="40"/>
              <w:rPr>
                <w:rFonts w:ascii="Arial" w:hAnsi="Arial"/>
                <w:b/>
                <w:bCs/>
                <w:sz w:val="16"/>
                <w:szCs w:val="16"/>
                <w:lang w:val="bs-Latn-BA"/>
              </w:rPr>
            </w:pPr>
          </w:p>
        </w:tc>
        <w:tc>
          <w:tcPr>
            <w:tcW w:w="697" w:type="pct"/>
            <w:vMerge/>
            <w:vAlign w:val="center"/>
          </w:tcPr>
          <w:p w:rsidR="00277382" w:rsidRPr="001E57EA" w:rsidRDefault="00277382" w:rsidP="00277382">
            <w:pPr>
              <w:spacing w:before="40" w:after="40"/>
              <w:rPr>
                <w:rFonts w:ascii="Arial" w:hAnsi="Arial"/>
                <w:sz w:val="16"/>
                <w:szCs w:val="16"/>
              </w:rPr>
            </w:pPr>
          </w:p>
        </w:tc>
        <w:tc>
          <w:tcPr>
            <w:tcW w:w="1760" w:type="pct"/>
            <w:tcMar>
              <w:top w:w="0" w:type="dxa"/>
              <w:left w:w="108" w:type="dxa"/>
              <w:bottom w:w="0" w:type="dxa"/>
              <w:right w:w="108" w:type="dxa"/>
            </w:tcMar>
          </w:tcPr>
          <w:p w:rsidR="00277382" w:rsidRPr="001E57EA" w:rsidRDefault="00277382" w:rsidP="00277382">
            <w:pPr>
              <w:spacing w:before="40" w:after="40"/>
              <w:rPr>
                <w:rFonts w:ascii="Arial" w:hAnsi="Arial"/>
                <w:sz w:val="16"/>
                <w:szCs w:val="16"/>
                <w:lang w:val="bs-Latn-BA"/>
              </w:rPr>
            </w:pPr>
            <w:r w:rsidRPr="001E57EA">
              <w:rPr>
                <w:rFonts w:ascii="Arial" w:hAnsi="Arial"/>
                <w:sz w:val="16"/>
                <w:szCs w:val="16"/>
                <w:lang w:val="de-DE"/>
              </w:rPr>
              <w:t>% osoba koje smatraju da je nasilje u porodici privatna stvar</w:t>
            </w:r>
          </w:p>
        </w:tc>
        <w:tc>
          <w:tcPr>
            <w:tcW w:w="944" w:type="pct"/>
            <w:tcMar>
              <w:top w:w="0" w:type="dxa"/>
              <w:left w:w="108" w:type="dxa"/>
              <w:bottom w:w="0" w:type="dxa"/>
              <w:right w:w="108" w:type="dxa"/>
            </w:tcMar>
            <w:vAlign w:val="center"/>
          </w:tcPr>
          <w:p w:rsidR="00277382" w:rsidRPr="001E57EA" w:rsidRDefault="00277382" w:rsidP="00277382">
            <w:pPr>
              <w:spacing w:before="40" w:after="40"/>
              <w:jc w:val="center"/>
              <w:rPr>
                <w:rFonts w:ascii="Arial" w:hAnsi="Arial"/>
                <w:sz w:val="16"/>
                <w:szCs w:val="16"/>
                <w:lang w:val="bs-Latn-BA"/>
              </w:rPr>
            </w:pPr>
            <w:r w:rsidRPr="001E57EA">
              <w:rPr>
                <w:rFonts w:ascii="Arial" w:hAnsi="Arial"/>
                <w:sz w:val="16"/>
                <w:szCs w:val="16"/>
              </w:rPr>
              <w:t>25% (2018)</w:t>
            </w:r>
          </w:p>
        </w:tc>
        <w:tc>
          <w:tcPr>
            <w:tcW w:w="835" w:type="pct"/>
            <w:tcMar>
              <w:top w:w="0" w:type="dxa"/>
              <w:left w:w="108" w:type="dxa"/>
              <w:bottom w:w="0" w:type="dxa"/>
              <w:right w:w="108" w:type="dxa"/>
            </w:tcMar>
            <w:vAlign w:val="center"/>
          </w:tcPr>
          <w:p w:rsidR="00277382" w:rsidRPr="001E57EA" w:rsidRDefault="00277382" w:rsidP="00277382">
            <w:pPr>
              <w:spacing w:before="40" w:after="40"/>
              <w:jc w:val="center"/>
              <w:rPr>
                <w:rFonts w:ascii="Arial" w:hAnsi="Arial"/>
                <w:sz w:val="16"/>
                <w:szCs w:val="16"/>
                <w:lang w:val="bs-Latn-BA"/>
              </w:rPr>
            </w:pPr>
            <w:r w:rsidRPr="001E57EA">
              <w:rPr>
                <w:rFonts w:ascii="Arial" w:hAnsi="Arial"/>
                <w:sz w:val="16"/>
                <w:szCs w:val="16"/>
              </w:rPr>
              <w:t>10% (2027)</w:t>
            </w:r>
          </w:p>
        </w:tc>
      </w:tr>
      <w:tr w:rsidR="001E57EA" w:rsidRPr="001E57EA" w:rsidTr="00805D8D">
        <w:trPr>
          <w:trHeight w:val="386"/>
          <w:jc w:val="center"/>
        </w:trPr>
        <w:tc>
          <w:tcPr>
            <w:tcW w:w="764" w:type="pct"/>
            <w:vMerge/>
            <w:vAlign w:val="center"/>
          </w:tcPr>
          <w:p w:rsidR="00277382" w:rsidRPr="001E57EA" w:rsidRDefault="00277382" w:rsidP="00277382">
            <w:pPr>
              <w:spacing w:before="40" w:after="40"/>
              <w:rPr>
                <w:rFonts w:ascii="Arial" w:hAnsi="Arial"/>
                <w:b/>
                <w:bCs/>
                <w:sz w:val="16"/>
                <w:szCs w:val="16"/>
                <w:lang w:val="bs-Latn-BA"/>
              </w:rPr>
            </w:pPr>
          </w:p>
        </w:tc>
        <w:tc>
          <w:tcPr>
            <w:tcW w:w="697" w:type="pct"/>
            <w:vMerge/>
            <w:vAlign w:val="center"/>
          </w:tcPr>
          <w:p w:rsidR="00277382" w:rsidRPr="001E57EA" w:rsidRDefault="00277382" w:rsidP="00277382">
            <w:pPr>
              <w:spacing w:before="40" w:after="40"/>
              <w:rPr>
                <w:rFonts w:ascii="Arial" w:hAnsi="Arial"/>
                <w:sz w:val="16"/>
                <w:szCs w:val="16"/>
              </w:rPr>
            </w:pPr>
          </w:p>
        </w:tc>
        <w:tc>
          <w:tcPr>
            <w:tcW w:w="1760" w:type="pct"/>
            <w:tcMar>
              <w:top w:w="0" w:type="dxa"/>
              <w:left w:w="108" w:type="dxa"/>
              <w:bottom w:w="0" w:type="dxa"/>
              <w:right w:w="108" w:type="dxa"/>
            </w:tcMar>
          </w:tcPr>
          <w:p w:rsidR="00277382" w:rsidRPr="001E57EA" w:rsidRDefault="00277382" w:rsidP="00277382">
            <w:pPr>
              <w:spacing w:before="40" w:after="40"/>
              <w:rPr>
                <w:rFonts w:ascii="Arial" w:hAnsi="Arial"/>
                <w:sz w:val="16"/>
                <w:szCs w:val="16"/>
                <w:lang w:val="bs-Latn-BA"/>
              </w:rPr>
            </w:pPr>
            <w:r w:rsidRPr="001E57EA">
              <w:rPr>
                <w:rFonts w:ascii="Arial" w:hAnsi="Arial"/>
                <w:sz w:val="16"/>
                <w:szCs w:val="16"/>
              </w:rPr>
              <w:t xml:space="preserve">% žena koje znaju šta učiniti u slučaju doživljenog nasilja </w:t>
            </w:r>
          </w:p>
        </w:tc>
        <w:tc>
          <w:tcPr>
            <w:tcW w:w="944" w:type="pct"/>
            <w:tcMar>
              <w:top w:w="0" w:type="dxa"/>
              <w:left w:w="108" w:type="dxa"/>
              <w:bottom w:w="0" w:type="dxa"/>
              <w:right w:w="108" w:type="dxa"/>
            </w:tcMar>
            <w:vAlign w:val="center"/>
          </w:tcPr>
          <w:p w:rsidR="00277382" w:rsidRPr="001E57EA" w:rsidRDefault="00277382" w:rsidP="00277382">
            <w:pPr>
              <w:spacing w:before="40" w:after="40"/>
              <w:jc w:val="center"/>
              <w:rPr>
                <w:rFonts w:ascii="Arial" w:hAnsi="Arial"/>
                <w:sz w:val="16"/>
                <w:szCs w:val="16"/>
                <w:lang w:val="bs-Latn-BA"/>
              </w:rPr>
            </w:pPr>
            <w:r w:rsidRPr="001E57EA">
              <w:rPr>
                <w:rFonts w:ascii="Arial" w:hAnsi="Arial"/>
                <w:sz w:val="16"/>
              </w:rPr>
              <w:t>23% (2018)</w:t>
            </w:r>
          </w:p>
        </w:tc>
        <w:tc>
          <w:tcPr>
            <w:tcW w:w="835" w:type="pct"/>
            <w:tcMar>
              <w:top w:w="0" w:type="dxa"/>
              <w:left w:w="108" w:type="dxa"/>
              <w:bottom w:w="0" w:type="dxa"/>
              <w:right w:w="108" w:type="dxa"/>
            </w:tcMar>
            <w:vAlign w:val="center"/>
          </w:tcPr>
          <w:p w:rsidR="00277382" w:rsidRPr="001E57EA" w:rsidRDefault="00277382" w:rsidP="00277382">
            <w:pPr>
              <w:spacing w:before="40" w:after="40"/>
              <w:jc w:val="center"/>
              <w:rPr>
                <w:rFonts w:ascii="Arial" w:hAnsi="Arial"/>
                <w:sz w:val="16"/>
                <w:szCs w:val="16"/>
                <w:lang w:val="bs-Latn-BA"/>
              </w:rPr>
            </w:pPr>
            <w:r w:rsidRPr="001E57EA">
              <w:rPr>
                <w:rFonts w:ascii="Arial" w:hAnsi="Arial"/>
                <w:sz w:val="16"/>
              </w:rPr>
              <w:t>50% (2027)</w:t>
            </w:r>
          </w:p>
        </w:tc>
      </w:tr>
      <w:tr w:rsidR="001E57EA" w:rsidRPr="001E57EA" w:rsidTr="00805D8D">
        <w:trPr>
          <w:trHeight w:val="377"/>
          <w:jc w:val="center"/>
        </w:trPr>
        <w:tc>
          <w:tcPr>
            <w:tcW w:w="764" w:type="pct"/>
            <w:vMerge/>
            <w:vAlign w:val="center"/>
            <w:hideMark/>
          </w:tcPr>
          <w:p w:rsidR="004E7F68" w:rsidRPr="001E57EA" w:rsidRDefault="004E7F68" w:rsidP="00F7078C">
            <w:pPr>
              <w:spacing w:before="40" w:after="40"/>
              <w:rPr>
                <w:rFonts w:ascii="Arial" w:hAnsi="Arial"/>
                <w:b/>
                <w:bCs/>
                <w:sz w:val="16"/>
                <w:szCs w:val="16"/>
                <w:lang w:val="bs-Latn-BA"/>
              </w:rPr>
            </w:pPr>
          </w:p>
        </w:tc>
        <w:tc>
          <w:tcPr>
            <w:tcW w:w="697" w:type="pct"/>
            <w:vMerge/>
            <w:vAlign w:val="center"/>
            <w:hideMark/>
          </w:tcPr>
          <w:p w:rsidR="004E7F68" w:rsidRPr="001E57EA" w:rsidRDefault="004E7F68"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FF4B57" w:rsidRPr="001E57EA" w:rsidRDefault="00FF4B57" w:rsidP="00FF4B57">
            <w:pPr>
              <w:spacing w:before="40" w:after="40"/>
              <w:rPr>
                <w:rFonts w:ascii="Arial" w:hAnsi="Arial"/>
                <w:b/>
                <w:bCs/>
                <w:sz w:val="16"/>
                <w:szCs w:val="16"/>
                <w:lang w:val="bs-Latn-BA"/>
              </w:rPr>
            </w:pPr>
          </w:p>
        </w:tc>
        <w:tc>
          <w:tcPr>
            <w:tcW w:w="697" w:type="pct"/>
            <w:vMerge/>
            <w:vAlign w:val="center"/>
            <w:hideMark/>
          </w:tcPr>
          <w:p w:rsidR="00FF4B57" w:rsidRPr="001E57EA" w:rsidRDefault="00FF4B57" w:rsidP="00FF4B57">
            <w:pPr>
              <w:spacing w:before="40" w:after="40"/>
              <w:rPr>
                <w:rFonts w:ascii="Arial" w:hAnsi="Arial"/>
                <w:sz w:val="16"/>
                <w:szCs w:val="16"/>
              </w:rPr>
            </w:pPr>
          </w:p>
        </w:tc>
        <w:tc>
          <w:tcPr>
            <w:tcW w:w="1760" w:type="pct"/>
            <w:tcMar>
              <w:top w:w="0" w:type="dxa"/>
              <w:left w:w="108" w:type="dxa"/>
              <w:bottom w:w="0" w:type="dxa"/>
              <w:right w:w="108" w:type="dxa"/>
            </w:tcMar>
            <w:vAlign w:val="center"/>
          </w:tcPr>
          <w:p w:rsidR="00FF4B57" w:rsidRPr="001E57EA" w:rsidRDefault="00F5454D" w:rsidP="00FF4B57">
            <w:pPr>
              <w:spacing w:before="40" w:after="40"/>
              <w:rPr>
                <w:rFonts w:ascii="Arial" w:hAnsi="Arial"/>
                <w:sz w:val="16"/>
                <w:szCs w:val="16"/>
                <w:lang w:val="bs-Latn-BA"/>
              </w:rPr>
            </w:pPr>
            <w:r w:rsidRPr="001E57EA">
              <w:rPr>
                <w:rFonts w:ascii="Arial" w:hAnsi="Arial"/>
                <w:sz w:val="16"/>
                <w:szCs w:val="16"/>
                <w:lang w:val="bs-Latn-BA"/>
              </w:rPr>
              <w:t>1.047.000</w:t>
            </w:r>
          </w:p>
        </w:tc>
        <w:tc>
          <w:tcPr>
            <w:tcW w:w="944" w:type="pct"/>
            <w:tcMar>
              <w:top w:w="0" w:type="dxa"/>
              <w:left w:w="108" w:type="dxa"/>
              <w:bottom w:w="0" w:type="dxa"/>
              <w:right w:w="108" w:type="dxa"/>
            </w:tcMar>
            <w:vAlign w:val="center"/>
          </w:tcPr>
          <w:p w:rsidR="00FF4B57" w:rsidRPr="001E57EA" w:rsidRDefault="00F5454D" w:rsidP="00FF4B57">
            <w:pPr>
              <w:spacing w:before="40" w:after="40"/>
              <w:jc w:val="center"/>
              <w:rPr>
                <w:rFonts w:ascii="Arial" w:hAnsi="Arial"/>
                <w:sz w:val="16"/>
                <w:szCs w:val="16"/>
                <w:lang w:val="bs-Latn-BA"/>
              </w:rPr>
            </w:pPr>
            <w:r w:rsidRPr="001E57EA">
              <w:rPr>
                <w:rFonts w:ascii="Arial" w:hAnsi="Arial"/>
                <w:sz w:val="16"/>
                <w:szCs w:val="16"/>
                <w:lang w:val="bs-Latn-BA"/>
              </w:rPr>
              <w:t>880.000</w:t>
            </w:r>
          </w:p>
        </w:tc>
        <w:tc>
          <w:tcPr>
            <w:tcW w:w="835" w:type="pct"/>
            <w:tcMar>
              <w:top w:w="0" w:type="dxa"/>
              <w:left w:w="108" w:type="dxa"/>
              <w:bottom w:w="0" w:type="dxa"/>
              <w:right w:w="108" w:type="dxa"/>
            </w:tcMar>
            <w:vAlign w:val="center"/>
          </w:tcPr>
          <w:p w:rsidR="00FF4B57" w:rsidRPr="001E57EA" w:rsidRDefault="00F5454D" w:rsidP="00FF4B57">
            <w:pPr>
              <w:spacing w:before="40" w:after="40"/>
              <w:jc w:val="center"/>
              <w:rPr>
                <w:rFonts w:ascii="Arial" w:hAnsi="Arial"/>
                <w:sz w:val="16"/>
                <w:szCs w:val="16"/>
                <w:lang w:val="bs-Latn-BA"/>
              </w:rPr>
            </w:pPr>
            <w:r w:rsidRPr="001E57EA">
              <w:rPr>
                <w:rFonts w:ascii="Arial" w:hAnsi="Arial"/>
                <w:sz w:val="16"/>
                <w:szCs w:val="16"/>
                <w:lang w:val="bs-Latn-BA"/>
              </w:rPr>
              <w:t>1.927.000</w:t>
            </w:r>
          </w:p>
        </w:tc>
      </w:tr>
      <w:tr w:rsidR="001E57EA" w:rsidRPr="001E57EA" w:rsidTr="00805D8D">
        <w:trPr>
          <w:trHeight w:val="485"/>
          <w:jc w:val="center"/>
        </w:trPr>
        <w:tc>
          <w:tcPr>
            <w:tcW w:w="764" w:type="pct"/>
            <w:vMerge w:val="restart"/>
            <w:shd w:val="clear" w:color="auto" w:fill="FBE4D5"/>
            <w:tcMar>
              <w:top w:w="0" w:type="dxa"/>
              <w:left w:w="108" w:type="dxa"/>
              <w:bottom w:w="0" w:type="dxa"/>
              <w:right w:w="108" w:type="dxa"/>
            </w:tcMar>
            <w:vAlign w:val="center"/>
            <w:hideMark/>
          </w:tcPr>
          <w:p w:rsidR="004E7F68" w:rsidRPr="001E57EA" w:rsidRDefault="004E7F68" w:rsidP="00F7078C">
            <w:pPr>
              <w:spacing w:before="40" w:after="40"/>
              <w:rPr>
                <w:rFonts w:ascii="Arial" w:hAnsi="Arial"/>
                <w:b/>
                <w:bCs/>
                <w:sz w:val="16"/>
                <w:szCs w:val="16"/>
                <w:lang w:val="bs-Latn-BA"/>
              </w:rPr>
            </w:pPr>
            <w:r w:rsidRPr="001E57EA">
              <w:rPr>
                <w:rFonts w:ascii="Arial" w:hAnsi="Arial"/>
                <w:b/>
                <w:bCs/>
                <w:sz w:val="16"/>
                <w:szCs w:val="16"/>
                <w:lang w:val="bs-Latn-BA"/>
              </w:rPr>
              <w:t>1.1.1. Mjera</w:t>
            </w:r>
          </w:p>
        </w:tc>
        <w:tc>
          <w:tcPr>
            <w:tcW w:w="697" w:type="pct"/>
            <w:vMerge w:val="restart"/>
            <w:tcMar>
              <w:top w:w="0" w:type="dxa"/>
              <w:left w:w="108" w:type="dxa"/>
              <w:bottom w:w="0" w:type="dxa"/>
              <w:right w:w="108" w:type="dxa"/>
            </w:tcMar>
            <w:vAlign w:val="center"/>
          </w:tcPr>
          <w:p w:rsidR="004E7F68" w:rsidRPr="001E57EA" w:rsidRDefault="004E7F68" w:rsidP="00F7078C">
            <w:pPr>
              <w:spacing w:before="40" w:after="40"/>
              <w:rPr>
                <w:rFonts w:ascii="Arial" w:hAnsi="Arial"/>
                <w:sz w:val="16"/>
                <w:szCs w:val="16"/>
              </w:rPr>
            </w:pPr>
            <w:r w:rsidRPr="001E57EA">
              <w:rPr>
                <w:rFonts w:ascii="Arial" w:hAnsi="Arial"/>
                <w:sz w:val="16"/>
                <w:szCs w:val="16"/>
                <w:lang w:val="bs-Latn-BA"/>
              </w:rPr>
              <w:t>Promocija tolerancije, nenasilja i rodne ravnopravnost u porodici i društvu</w:t>
            </w: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485"/>
          <w:jc w:val="center"/>
        </w:trPr>
        <w:tc>
          <w:tcPr>
            <w:tcW w:w="764" w:type="pct"/>
            <w:vMerge/>
            <w:vAlign w:val="center"/>
            <w:hideMark/>
          </w:tcPr>
          <w:p w:rsidR="004E7F68" w:rsidRPr="001E57EA" w:rsidRDefault="004E7F68" w:rsidP="004E7F68">
            <w:pPr>
              <w:spacing w:before="40" w:after="40"/>
              <w:rPr>
                <w:rFonts w:ascii="Arial" w:hAnsi="Arial"/>
                <w:b/>
                <w:bCs/>
                <w:sz w:val="16"/>
                <w:szCs w:val="16"/>
              </w:rPr>
            </w:pPr>
          </w:p>
        </w:tc>
        <w:tc>
          <w:tcPr>
            <w:tcW w:w="697" w:type="pct"/>
            <w:vMerge/>
            <w:vAlign w:val="center"/>
            <w:hideMark/>
          </w:tcPr>
          <w:p w:rsidR="004E7F68" w:rsidRPr="001E57EA" w:rsidRDefault="004E7F68" w:rsidP="004E7F68">
            <w:pPr>
              <w:spacing w:before="40" w:after="40"/>
              <w:rPr>
                <w:rFonts w:ascii="Arial" w:hAnsi="Arial"/>
                <w:sz w:val="16"/>
                <w:szCs w:val="16"/>
              </w:rPr>
            </w:pPr>
          </w:p>
        </w:tc>
        <w:tc>
          <w:tcPr>
            <w:tcW w:w="1760" w:type="pct"/>
            <w:tcMar>
              <w:top w:w="0" w:type="dxa"/>
              <w:left w:w="108" w:type="dxa"/>
              <w:bottom w:w="0" w:type="dxa"/>
              <w:right w:w="108" w:type="dxa"/>
            </w:tcMar>
          </w:tcPr>
          <w:p w:rsidR="004E7F68" w:rsidRPr="001E57EA" w:rsidRDefault="004E7F68" w:rsidP="004E7F68">
            <w:pPr>
              <w:spacing w:before="40" w:after="40"/>
              <w:rPr>
                <w:rFonts w:ascii="Arial" w:hAnsi="Arial"/>
                <w:sz w:val="16"/>
                <w:szCs w:val="16"/>
                <w:lang w:val="bs-Latn-BA"/>
              </w:rPr>
            </w:pPr>
            <w:r w:rsidRPr="001E57EA">
              <w:rPr>
                <w:rFonts w:ascii="Arial" w:hAnsi="Arial"/>
                <w:sz w:val="16"/>
                <w:szCs w:val="16"/>
              </w:rPr>
              <w:t>% žena žrtava nasilja u porodici</w:t>
            </w:r>
          </w:p>
        </w:tc>
        <w:tc>
          <w:tcPr>
            <w:tcW w:w="944" w:type="pct"/>
            <w:tcMar>
              <w:top w:w="0" w:type="dxa"/>
              <w:left w:w="108" w:type="dxa"/>
              <w:bottom w:w="0" w:type="dxa"/>
              <w:right w:w="108" w:type="dxa"/>
            </w:tcMar>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rPr>
              <w:t>79,11% (2020)</w:t>
            </w:r>
          </w:p>
        </w:tc>
        <w:tc>
          <w:tcPr>
            <w:tcW w:w="835" w:type="pct"/>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rPr>
              <w:t>60% (2027)</w:t>
            </w:r>
          </w:p>
        </w:tc>
      </w:tr>
      <w:tr w:rsidR="001E57EA" w:rsidRPr="001E57EA" w:rsidTr="00805D8D">
        <w:trPr>
          <w:trHeight w:val="485"/>
          <w:jc w:val="center"/>
        </w:trPr>
        <w:tc>
          <w:tcPr>
            <w:tcW w:w="764" w:type="pct"/>
            <w:vMerge/>
            <w:vAlign w:val="center"/>
          </w:tcPr>
          <w:p w:rsidR="004E7F68" w:rsidRPr="001E57EA" w:rsidRDefault="004E7F68" w:rsidP="004E7F68">
            <w:pPr>
              <w:spacing w:before="40" w:after="40"/>
              <w:rPr>
                <w:rFonts w:ascii="Arial" w:hAnsi="Arial"/>
                <w:b/>
                <w:bCs/>
                <w:sz w:val="16"/>
                <w:szCs w:val="16"/>
              </w:rPr>
            </w:pPr>
          </w:p>
        </w:tc>
        <w:tc>
          <w:tcPr>
            <w:tcW w:w="697" w:type="pct"/>
            <w:vMerge/>
            <w:vAlign w:val="center"/>
          </w:tcPr>
          <w:p w:rsidR="004E7F68" w:rsidRPr="001E57EA" w:rsidRDefault="004E7F68" w:rsidP="004E7F68">
            <w:pPr>
              <w:spacing w:before="40" w:after="40"/>
              <w:rPr>
                <w:rFonts w:ascii="Arial" w:hAnsi="Arial"/>
                <w:sz w:val="16"/>
                <w:szCs w:val="16"/>
              </w:rPr>
            </w:pPr>
          </w:p>
        </w:tc>
        <w:tc>
          <w:tcPr>
            <w:tcW w:w="1760" w:type="pct"/>
            <w:tcMar>
              <w:top w:w="0" w:type="dxa"/>
              <w:left w:w="108" w:type="dxa"/>
              <w:bottom w:w="0" w:type="dxa"/>
              <w:right w:w="108" w:type="dxa"/>
            </w:tcMar>
          </w:tcPr>
          <w:p w:rsidR="004E7F68" w:rsidRPr="001E57EA" w:rsidRDefault="004E7F68" w:rsidP="004E7F68">
            <w:pPr>
              <w:spacing w:before="40" w:after="40"/>
              <w:rPr>
                <w:rFonts w:ascii="Arial" w:hAnsi="Arial"/>
                <w:sz w:val="16"/>
                <w:szCs w:val="16"/>
                <w:lang w:val="bs-Latn-BA"/>
              </w:rPr>
            </w:pPr>
            <w:r w:rsidRPr="001E57EA">
              <w:rPr>
                <w:rFonts w:ascii="Arial" w:hAnsi="Arial"/>
                <w:sz w:val="16"/>
                <w:szCs w:val="16"/>
              </w:rPr>
              <w:t>% objava u kojima je nasilje u porodici obrađeno kao društveni problem, a ne senzacionalistički</w:t>
            </w:r>
          </w:p>
        </w:tc>
        <w:tc>
          <w:tcPr>
            <w:tcW w:w="944" w:type="pct"/>
            <w:tcMar>
              <w:top w:w="0" w:type="dxa"/>
              <w:left w:w="108" w:type="dxa"/>
              <w:bottom w:w="0" w:type="dxa"/>
              <w:right w:w="108" w:type="dxa"/>
            </w:tcMar>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rPr>
              <w:t>14% (2018)</w:t>
            </w:r>
          </w:p>
        </w:tc>
        <w:tc>
          <w:tcPr>
            <w:tcW w:w="835" w:type="pct"/>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rPr>
              <w:t>70% (2027)</w:t>
            </w:r>
          </w:p>
        </w:tc>
      </w:tr>
      <w:tr w:rsidR="001E57EA" w:rsidRPr="001E57EA" w:rsidTr="00805D8D">
        <w:trPr>
          <w:trHeight w:val="485"/>
          <w:jc w:val="center"/>
        </w:trPr>
        <w:tc>
          <w:tcPr>
            <w:tcW w:w="764" w:type="pct"/>
            <w:vMerge/>
            <w:vAlign w:val="center"/>
          </w:tcPr>
          <w:p w:rsidR="004E7F68" w:rsidRPr="001E57EA" w:rsidRDefault="004E7F68" w:rsidP="004E7F68">
            <w:pPr>
              <w:spacing w:before="40" w:after="40"/>
              <w:rPr>
                <w:rFonts w:ascii="Arial" w:hAnsi="Arial"/>
                <w:b/>
                <w:bCs/>
                <w:sz w:val="16"/>
                <w:szCs w:val="16"/>
              </w:rPr>
            </w:pPr>
          </w:p>
        </w:tc>
        <w:tc>
          <w:tcPr>
            <w:tcW w:w="697" w:type="pct"/>
            <w:vMerge/>
            <w:vAlign w:val="center"/>
          </w:tcPr>
          <w:p w:rsidR="004E7F68" w:rsidRPr="001E57EA" w:rsidRDefault="004E7F68" w:rsidP="004E7F68">
            <w:pPr>
              <w:spacing w:before="40" w:after="40"/>
              <w:rPr>
                <w:rFonts w:ascii="Arial" w:hAnsi="Arial"/>
                <w:sz w:val="16"/>
                <w:szCs w:val="16"/>
              </w:rPr>
            </w:pPr>
          </w:p>
        </w:tc>
        <w:tc>
          <w:tcPr>
            <w:tcW w:w="1760" w:type="pct"/>
            <w:tcMar>
              <w:top w:w="0" w:type="dxa"/>
              <w:left w:w="108" w:type="dxa"/>
              <w:bottom w:w="0" w:type="dxa"/>
              <w:right w:w="108" w:type="dxa"/>
            </w:tcMar>
          </w:tcPr>
          <w:p w:rsidR="004E7F68" w:rsidRPr="001E57EA" w:rsidRDefault="004E7F68" w:rsidP="004E7F68">
            <w:pPr>
              <w:spacing w:before="40" w:after="40"/>
              <w:rPr>
                <w:rFonts w:ascii="Arial" w:hAnsi="Arial"/>
                <w:sz w:val="16"/>
                <w:szCs w:val="16"/>
                <w:lang w:val="bs-Latn-BA"/>
              </w:rPr>
            </w:pPr>
            <w:r w:rsidRPr="001E57EA">
              <w:rPr>
                <w:rFonts w:ascii="Arial" w:hAnsi="Arial"/>
                <w:sz w:val="16"/>
                <w:szCs w:val="16"/>
                <w:lang w:val="de-DE"/>
              </w:rPr>
              <w:t xml:space="preserve">% medijskih objava u kojima je otkriven identitet žrtve </w:t>
            </w:r>
          </w:p>
        </w:tc>
        <w:tc>
          <w:tcPr>
            <w:tcW w:w="944" w:type="pct"/>
            <w:tcMar>
              <w:top w:w="0" w:type="dxa"/>
              <w:left w:w="108" w:type="dxa"/>
              <w:bottom w:w="0" w:type="dxa"/>
              <w:right w:w="108" w:type="dxa"/>
            </w:tcMar>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rPr>
              <w:t>36% (2018)</w:t>
            </w:r>
          </w:p>
        </w:tc>
        <w:tc>
          <w:tcPr>
            <w:tcW w:w="835" w:type="pct"/>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rPr>
              <w:t>5% (2027)</w:t>
            </w:r>
          </w:p>
        </w:tc>
      </w:tr>
      <w:tr w:rsidR="001E57EA" w:rsidRPr="001E57EA" w:rsidTr="00805D8D">
        <w:trPr>
          <w:trHeight w:val="485"/>
          <w:jc w:val="center"/>
        </w:trPr>
        <w:tc>
          <w:tcPr>
            <w:tcW w:w="764" w:type="pct"/>
            <w:vMerge/>
            <w:vAlign w:val="center"/>
          </w:tcPr>
          <w:p w:rsidR="00715EE0" w:rsidRPr="001E57EA" w:rsidRDefault="00715EE0" w:rsidP="00715EE0">
            <w:pPr>
              <w:spacing w:before="40" w:after="40"/>
              <w:rPr>
                <w:rFonts w:ascii="Arial" w:hAnsi="Arial"/>
                <w:b/>
                <w:bCs/>
                <w:sz w:val="16"/>
                <w:szCs w:val="16"/>
              </w:rPr>
            </w:pPr>
          </w:p>
        </w:tc>
        <w:tc>
          <w:tcPr>
            <w:tcW w:w="697" w:type="pct"/>
            <w:vMerge/>
            <w:vAlign w:val="center"/>
          </w:tcPr>
          <w:p w:rsidR="00715EE0" w:rsidRPr="001E57EA" w:rsidRDefault="00715EE0" w:rsidP="00715EE0">
            <w:pPr>
              <w:spacing w:before="40" w:after="40"/>
              <w:rPr>
                <w:rFonts w:ascii="Arial" w:hAnsi="Arial"/>
                <w:sz w:val="16"/>
                <w:szCs w:val="16"/>
              </w:rPr>
            </w:pPr>
          </w:p>
        </w:tc>
        <w:tc>
          <w:tcPr>
            <w:tcW w:w="1760" w:type="pct"/>
            <w:tcMar>
              <w:top w:w="0" w:type="dxa"/>
              <w:left w:w="108" w:type="dxa"/>
              <w:bottom w:w="0" w:type="dxa"/>
              <w:right w:w="108" w:type="dxa"/>
            </w:tcMar>
          </w:tcPr>
          <w:p w:rsidR="00715EE0" w:rsidRPr="001E57EA" w:rsidRDefault="00715EE0" w:rsidP="00715EE0">
            <w:pPr>
              <w:spacing w:before="40" w:after="40"/>
              <w:rPr>
                <w:rFonts w:ascii="Arial" w:hAnsi="Arial"/>
                <w:sz w:val="16"/>
                <w:szCs w:val="16"/>
                <w:lang w:val="bs-Latn-BA"/>
              </w:rPr>
            </w:pPr>
            <w:r w:rsidRPr="001E57EA">
              <w:rPr>
                <w:rFonts w:ascii="Arial" w:hAnsi="Arial"/>
                <w:sz w:val="16"/>
                <w:szCs w:val="16"/>
              </w:rPr>
              <w:t>% profesionalaca koji su završili stručne obuke za postupanje u slučajevima nasilja u porodici</w:t>
            </w:r>
          </w:p>
        </w:tc>
        <w:tc>
          <w:tcPr>
            <w:tcW w:w="944" w:type="pct"/>
            <w:tcMar>
              <w:top w:w="0" w:type="dxa"/>
              <w:left w:w="108" w:type="dxa"/>
              <w:bottom w:w="0" w:type="dxa"/>
              <w:right w:w="108" w:type="dxa"/>
            </w:tcMar>
            <w:vAlign w:val="center"/>
          </w:tcPr>
          <w:p w:rsidR="00715EE0" w:rsidRPr="001E57EA" w:rsidRDefault="00715EE0" w:rsidP="00715EE0">
            <w:pPr>
              <w:pStyle w:val="Default"/>
              <w:jc w:val="center"/>
              <w:rPr>
                <w:rFonts w:ascii="Arial" w:hAnsi="Arial" w:cs="Arial"/>
                <w:color w:val="auto"/>
                <w:sz w:val="16"/>
                <w:szCs w:val="16"/>
                <w:highlight w:val="yellow"/>
              </w:rPr>
            </w:pPr>
            <w:r w:rsidRPr="001E57EA">
              <w:rPr>
                <w:rFonts w:ascii="Arial" w:hAnsi="Arial" w:cs="Arial"/>
                <w:color w:val="auto"/>
                <w:sz w:val="16"/>
                <w:szCs w:val="16"/>
              </w:rPr>
              <w:t>FMZ 35% (2019)</w:t>
            </w:r>
          </w:p>
          <w:p w:rsidR="00715EE0" w:rsidRPr="001E57EA" w:rsidRDefault="00715EE0" w:rsidP="00715EE0">
            <w:pPr>
              <w:pStyle w:val="Default"/>
              <w:jc w:val="center"/>
              <w:rPr>
                <w:rFonts w:ascii="Arial" w:hAnsi="Arial" w:cs="Arial"/>
                <w:color w:val="auto"/>
                <w:sz w:val="16"/>
                <w:szCs w:val="16"/>
                <w:highlight w:val="yellow"/>
              </w:rPr>
            </w:pPr>
            <w:r w:rsidRPr="001E57EA">
              <w:rPr>
                <w:rFonts w:ascii="Arial" w:hAnsi="Arial" w:cs="Arial"/>
                <w:color w:val="auto"/>
                <w:sz w:val="16"/>
                <w:szCs w:val="16"/>
              </w:rPr>
              <w:t>FMUP, FMRSP i CEST nema podataka o početnom stanju</w:t>
            </w:r>
          </w:p>
        </w:tc>
        <w:tc>
          <w:tcPr>
            <w:tcW w:w="835" w:type="pct"/>
            <w:vAlign w:val="center"/>
          </w:tcPr>
          <w:p w:rsidR="00715EE0" w:rsidRPr="001E57EA" w:rsidRDefault="00715EE0" w:rsidP="00715EE0">
            <w:pPr>
              <w:spacing w:before="40" w:after="40"/>
              <w:jc w:val="center"/>
              <w:rPr>
                <w:rFonts w:ascii="Arial" w:hAnsi="Arial"/>
                <w:sz w:val="16"/>
                <w:szCs w:val="16"/>
                <w:lang w:val="bs-Latn-BA"/>
              </w:rPr>
            </w:pPr>
            <w:r w:rsidRPr="001E57EA">
              <w:rPr>
                <w:rFonts w:ascii="Arial" w:hAnsi="Arial"/>
                <w:sz w:val="16"/>
                <w:szCs w:val="16"/>
              </w:rPr>
              <w:t>70% (2027)</w:t>
            </w:r>
          </w:p>
        </w:tc>
      </w:tr>
      <w:tr w:rsidR="001E57EA" w:rsidRPr="001E57EA" w:rsidTr="00805D8D">
        <w:trPr>
          <w:trHeight w:val="485"/>
          <w:jc w:val="center"/>
        </w:trPr>
        <w:tc>
          <w:tcPr>
            <w:tcW w:w="764" w:type="pct"/>
            <w:vMerge/>
            <w:vAlign w:val="center"/>
            <w:hideMark/>
          </w:tcPr>
          <w:p w:rsidR="004E7F68" w:rsidRPr="001E57EA" w:rsidRDefault="004E7F68" w:rsidP="00F7078C">
            <w:pPr>
              <w:spacing w:before="40" w:after="40"/>
              <w:rPr>
                <w:rFonts w:ascii="Arial" w:hAnsi="Arial"/>
                <w:b/>
                <w:bCs/>
                <w:sz w:val="16"/>
                <w:szCs w:val="16"/>
              </w:rPr>
            </w:pPr>
          </w:p>
        </w:tc>
        <w:tc>
          <w:tcPr>
            <w:tcW w:w="697" w:type="pct"/>
            <w:vMerge/>
            <w:vAlign w:val="center"/>
            <w:hideMark/>
          </w:tcPr>
          <w:p w:rsidR="004E7F68" w:rsidRPr="001E57EA" w:rsidRDefault="004E7F68"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FF4B57" w:rsidRPr="001E57EA" w:rsidRDefault="00FF4B57" w:rsidP="00FF4B57">
            <w:pPr>
              <w:spacing w:before="40" w:after="40"/>
              <w:rPr>
                <w:rFonts w:ascii="Arial" w:hAnsi="Arial"/>
                <w:b/>
                <w:bCs/>
                <w:sz w:val="16"/>
                <w:szCs w:val="16"/>
              </w:rPr>
            </w:pPr>
          </w:p>
        </w:tc>
        <w:tc>
          <w:tcPr>
            <w:tcW w:w="697" w:type="pct"/>
            <w:vMerge/>
            <w:vAlign w:val="center"/>
            <w:hideMark/>
          </w:tcPr>
          <w:p w:rsidR="00FF4B57" w:rsidRPr="001E57EA" w:rsidRDefault="00FF4B57" w:rsidP="00FF4B57">
            <w:pPr>
              <w:spacing w:before="40" w:after="40"/>
              <w:rPr>
                <w:rFonts w:ascii="Arial" w:hAnsi="Arial"/>
                <w:sz w:val="16"/>
                <w:szCs w:val="16"/>
              </w:rPr>
            </w:pPr>
          </w:p>
        </w:tc>
        <w:tc>
          <w:tcPr>
            <w:tcW w:w="1760" w:type="pct"/>
            <w:tcMar>
              <w:top w:w="0" w:type="dxa"/>
              <w:left w:w="108" w:type="dxa"/>
              <w:bottom w:w="0" w:type="dxa"/>
              <w:right w:w="108" w:type="dxa"/>
            </w:tcMar>
            <w:vAlign w:val="center"/>
          </w:tcPr>
          <w:p w:rsidR="00FF4B57" w:rsidRPr="001E57EA" w:rsidRDefault="00F5454D" w:rsidP="00FF4B57">
            <w:pPr>
              <w:spacing w:before="40" w:after="40"/>
              <w:rPr>
                <w:rFonts w:ascii="Arial" w:hAnsi="Arial"/>
                <w:sz w:val="16"/>
                <w:szCs w:val="16"/>
              </w:rPr>
            </w:pPr>
            <w:r w:rsidRPr="001E57EA">
              <w:rPr>
                <w:rFonts w:ascii="Arial" w:hAnsi="Arial"/>
                <w:sz w:val="16"/>
                <w:szCs w:val="16"/>
              </w:rPr>
              <w:t>270.000</w:t>
            </w:r>
          </w:p>
        </w:tc>
        <w:tc>
          <w:tcPr>
            <w:tcW w:w="944" w:type="pct"/>
            <w:tcMar>
              <w:top w:w="0" w:type="dxa"/>
              <w:left w:w="108" w:type="dxa"/>
              <w:bottom w:w="0" w:type="dxa"/>
              <w:right w:w="108" w:type="dxa"/>
            </w:tcMar>
            <w:vAlign w:val="center"/>
          </w:tcPr>
          <w:p w:rsidR="00FF4B57" w:rsidRPr="001E57EA" w:rsidRDefault="00F5454D" w:rsidP="00FF4B57">
            <w:pPr>
              <w:spacing w:before="40" w:after="40"/>
              <w:jc w:val="center"/>
              <w:rPr>
                <w:rFonts w:ascii="Arial" w:hAnsi="Arial"/>
                <w:sz w:val="16"/>
                <w:szCs w:val="16"/>
              </w:rPr>
            </w:pPr>
            <w:r w:rsidRPr="001E57EA">
              <w:rPr>
                <w:rFonts w:ascii="Arial" w:hAnsi="Arial"/>
                <w:sz w:val="16"/>
                <w:szCs w:val="16"/>
              </w:rPr>
              <w:t>480.000</w:t>
            </w:r>
          </w:p>
        </w:tc>
        <w:tc>
          <w:tcPr>
            <w:tcW w:w="835" w:type="pct"/>
            <w:tcMar>
              <w:top w:w="0" w:type="dxa"/>
              <w:left w:w="108" w:type="dxa"/>
              <w:bottom w:w="0" w:type="dxa"/>
              <w:right w:w="108" w:type="dxa"/>
            </w:tcMar>
            <w:vAlign w:val="center"/>
          </w:tcPr>
          <w:p w:rsidR="00FF4B57" w:rsidRPr="001E57EA" w:rsidRDefault="00F5454D" w:rsidP="00FF4B57">
            <w:pPr>
              <w:spacing w:before="40" w:after="40"/>
              <w:jc w:val="center"/>
              <w:rPr>
                <w:rFonts w:ascii="Arial" w:hAnsi="Arial"/>
                <w:sz w:val="16"/>
                <w:szCs w:val="16"/>
              </w:rPr>
            </w:pPr>
            <w:r w:rsidRPr="001E57EA">
              <w:rPr>
                <w:rFonts w:ascii="Arial" w:hAnsi="Arial"/>
                <w:sz w:val="16"/>
                <w:szCs w:val="16"/>
              </w:rPr>
              <w:t>750.000</w:t>
            </w:r>
          </w:p>
        </w:tc>
      </w:tr>
      <w:tr w:rsidR="001E57EA" w:rsidRPr="001E57EA" w:rsidTr="00805D8D">
        <w:trPr>
          <w:trHeight w:val="485"/>
          <w:jc w:val="center"/>
        </w:trPr>
        <w:tc>
          <w:tcPr>
            <w:tcW w:w="764" w:type="pct"/>
            <w:vMerge w:val="restart"/>
            <w:shd w:val="clear" w:color="auto" w:fill="FBE4D5"/>
            <w:tcMar>
              <w:top w:w="0" w:type="dxa"/>
              <w:left w:w="108" w:type="dxa"/>
              <w:bottom w:w="0" w:type="dxa"/>
              <w:right w:w="108" w:type="dxa"/>
            </w:tcMar>
            <w:vAlign w:val="center"/>
            <w:hideMark/>
          </w:tcPr>
          <w:p w:rsidR="004E7F68" w:rsidRPr="001E57EA" w:rsidRDefault="004E7F68" w:rsidP="00F7078C">
            <w:pPr>
              <w:spacing w:before="40" w:after="40"/>
              <w:rPr>
                <w:rFonts w:ascii="Arial" w:hAnsi="Arial"/>
                <w:b/>
                <w:bCs/>
                <w:sz w:val="16"/>
                <w:szCs w:val="16"/>
                <w:lang w:val="bs-Latn-BA"/>
              </w:rPr>
            </w:pPr>
            <w:r w:rsidRPr="001E57EA">
              <w:rPr>
                <w:rFonts w:ascii="Arial" w:hAnsi="Arial"/>
                <w:b/>
                <w:bCs/>
                <w:sz w:val="16"/>
                <w:szCs w:val="16"/>
                <w:lang w:val="bs-Latn-BA"/>
              </w:rPr>
              <w:t>1.1.2. Mjera</w:t>
            </w:r>
          </w:p>
        </w:tc>
        <w:tc>
          <w:tcPr>
            <w:tcW w:w="697" w:type="pct"/>
            <w:vMerge w:val="restart"/>
            <w:tcMar>
              <w:top w:w="0" w:type="dxa"/>
              <w:left w:w="108" w:type="dxa"/>
              <w:bottom w:w="0" w:type="dxa"/>
              <w:right w:w="108" w:type="dxa"/>
            </w:tcMar>
            <w:vAlign w:val="center"/>
          </w:tcPr>
          <w:p w:rsidR="004E7F68" w:rsidRPr="001E57EA" w:rsidRDefault="00D8543E" w:rsidP="00F7078C">
            <w:pPr>
              <w:spacing w:before="40" w:after="40"/>
              <w:rPr>
                <w:rFonts w:ascii="Arial" w:hAnsi="Arial"/>
                <w:sz w:val="16"/>
                <w:szCs w:val="16"/>
                <w:lang w:val="bs-Latn-BA"/>
              </w:rPr>
            </w:pPr>
            <w:r w:rsidRPr="001E57EA">
              <w:rPr>
                <w:rFonts w:ascii="Arial" w:hAnsi="Arial"/>
                <w:sz w:val="16"/>
                <w:szCs w:val="16"/>
                <w:lang w:val="bs-Latn-BA"/>
              </w:rPr>
              <w:t>Razvijati mehanizme ranog prepoznavanja nasilja i otklanjanja faktora rizika za nasilje u porodici</w:t>
            </w: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485"/>
          <w:jc w:val="center"/>
        </w:trPr>
        <w:tc>
          <w:tcPr>
            <w:tcW w:w="764" w:type="pct"/>
            <w:vMerge/>
            <w:vAlign w:val="center"/>
            <w:hideMark/>
          </w:tcPr>
          <w:p w:rsidR="00715EE0" w:rsidRPr="001E57EA" w:rsidRDefault="00715EE0" w:rsidP="00715EE0">
            <w:pPr>
              <w:spacing w:before="40" w:after="40"/>
              <w:rPr>
                <w:rFonts w:ascii="Arial" w:hAnsi="Arial"/>
                <w:b/>
                <w:bCs/>
                <w:sz w:val="16"/>
                <w:szCs w:val="16"/>
              </w:rPr>
            </w:pPr>
          </w:p>
        </w:tc>
        <w:tc>
          <w:tcPr>
            <w:tcW w:w="697" w:type="pct"/>
            <w:vMerge/>
            <w:vAlign w:val="center"/>
            <w:hideMark/>
          </w:tcPr>
          <w:p w:rsidR="00715EE0" w:rsidRPr="001E57EA" w:rsidRDefault="00715EE0" w:rsidP="00715EE0">
            <w:pPr>
              <w:spacing w:before="40" w:after="40"/>
              <w:rPr>
                <w:rFonts w:ascii="Arial" w:hAnsi="Arial"/>
                <w:sz w:val="16"/>
                <w:szCs w:val="16"/>
              </w:rPr>
            </w:pPr>
          </w:p>
        </w:tc>
        <w:tc>
          <w:tcPr>
            <w:tcW w:w="1760" w:type="pct"/>
            <w:tcMar>
              <w:top w:w="0" w:type="dxa"/>
              <w:left w:w="108" w:type="dxa"/>
              <w:bottom w:w="0" w:type="dxa"/>
              <w:right w:w="108" w:type="dxa"/>
            </w:tcMar>
          </w:tcPr>
          <w:p w:rsidR="00715EE0" w:rsidRPr="001E57EA" w:rsidRDefault="00715EE0" w:rsidP="00715EE0">
            <w:pPr>
              <w:spacing w:before="40" w:after="40"/>
              <w:rPr>
                <w:rFonts w:ascii="Arial" w:hAnsi="Arial"/>
                <w:sz w:val="16"/>
                <w:szCs w:val="16"/>
                <w:lang w:val="bs-Latn-BA"/>
              </w:rPr>
            </w:pPr>
            <w:r w:rsidRPr="001E57EA">
              <w:rPr>
                <w:rFonts w:ascii="Arial" w:hAnsi="Arial"/>
                <w:sz w:val="16"/>
                <w:szCs w:val="16"/>
              </w:rPr>
              <w:t>% žena žrtava nasilja korisnica programa ekonomskog osnaživanja žena</w:t>
            </w:r>
          </w:p>
        </w:tc>
        <w:tc>
          <w:tcPr>
            <w:tcW w:w="944" w:type="pct"/>
            <w:tcMar>
              <w:top w:w="0" w:type="dxa"/>
              <w:left w:w="108" w:type="dxa"/>
              <w:bottom w:w="0" w:type="dxa"/>
              <w:right w:w="108" w:type="dxa"/>
            </w:tcMar>
            <w:vAlign w:val="center"/>
          </w:tcPr>
          <w:p w:rsidR="00715EE0" w:rsidRPr="001E57EA" w:rsidRDefault="00715EE0" w:rsidP="001D3A80">
            <w:pPr>
              <w:spacing w:before="40" w:after="40"/>
              <w:jc w:val="center"/>
              <w:rPr>
                <w:rFonts w:ascii="Arial" w:hAnsi="Arial"/>
                <w:sz w:val="16"/>
                <w:szCs w:val="16"/>
                <w:lang w:val="bs-Latn-BA"/>
              </w:rPr>
            </w:pPr>
            <w:r w:rsidRPr="001E57EA">
              <w:rPr>
                <w:rFonts w:ascii="Arial" w:hAnsi="Arial"/>
                <w:sz w:val="16"/>
                <w:szCs w:val="16"/>
              </w:rPr>
              <w:t>nema podataka o početnom stanju</w:t>
            </w:r>
          </w:p>
        </w:tc>
        <w:tc>
          <w:tcPr>
            <w:tcW w:w="835" w:type="pct"/>
            <w:vAlign w:val="center"/>
          </w:tcPr>
          <w:p w:rsidR="00715EE0" w:rsidRPr="001E57EA" w:rsidRDefault="00715EE0" w:rsidP="001D3A80">
            <w:pPr>
              <w:spacing w:before="40" w:after="40"/>
              <w:jc w:val="center"/>
              <w:rPr>
                <w:rFonts w:ascii="Arial" w:hAnsi="Arial"/>
                <w:sz w:val="16"/>
                <w:szCs w:val="16"/>
                <w:lang w:val="bs-Latn-BA"/>
              </w:rPr>
            </w:pPr>
            <w:r w:rsidRPr="001E57EA">
              <w:rPr>
                <w:rFonts w:ascii="Arial" w:hAnsi="Arial"/>
                <w:sz w:val="16"/>
              </w:rPr>
              <w:t>10% (2020)</w:t>
            </w:r>
          </w:p>
        </w:tc>
      </w:tr>
      <w:tr w:rsidR="001E57EA" w:rsidRPr="001E57EA" w:rsidTr="00805D8D">
        <w:trPr>
          <w:trHeight w:val="485"/>
          <w:jc w:val="center"/>
        </w:trPr>
        <w:tc>
          <w:tcPr>
            <w:tcW w:w="764" w:type="pct"/>
            <w:vMerge/>
            <w:vAlign w:val="center"/>
          </w:tcPr>
          <w:p w:rsidR="00715EE0" w:rsidRPr="001E57EA" w:rsidRDefault="00715EE0" w:rsidP="00715EE0">
            <w:pPr>
              <w:spacing w:before="40" w:after="40"/>
              <w:rPr>
                <w:rFonts w:ascii="Arial" w:hAnsi="Arial"/>
                <w:b/>
                <w:bCs/>
                <w:sz w:val="16"/>
                <w:szCs w:val="16"/>
              </w:rPr>
            </w:pPr>
          </w:p>
        </w:tc>
        <w:tc>
          <w:tcPr>
            <w:tcW w:w="697" w:type="pct"/>
            <w:vMerge/>
            <w:vAlign w:val="center"/>
          </w:tcPr>
          <w:p w:rsidR="00715EE0" w:rsidRPr="001E57EA" w:rsidRDefault="00715EE0" w:rsidP="00715EE0">
            <w:pPr>
              <w:spacing w:before="40" w:after="40"/>
              <w:rPr>
                <w:rFonts w:ascii="Arial" w:hAnsi="Arial"/>
                <w:sz w:val="16"/>
                <w:szCs w:val="16"/>
              </w:rPr>
            </w:pPr>
          </w:p>
        </w:tc>
        <w:tc>
          <w:tcPr>
            <w:tcW w:w="1760" w:type="pct"/>
            <w:tcMar>
              <w:top w:w="0" w:type="dxa"/>
              <w:left w:w="108" w:type="dxa"/>
              <w:bottom w:w="0" w:type="dxa"/>
              <w:right w:w="108" w:type="dxa"/>
            </w:tcMar>
          </w:tcPr>
          <w:p w:rsidR="00715EE0" w:rsidRPr="001E57EA" w:rsidRDefault="00715EE0" w:rsidP="00715EE0">
            <w:pPr>
              <w:spacing w:before="40" w:after="40"/>
              <w:rPr>
                <w:rFonts w:ascii="Arial" w:hAnsi="Arial"/>
                <w:sz w:val="16"/>
                <w:szCs w:val="16"/>
                <w:lang w:val="bs-Latn-BA"/>
              </w:rPr>
            </w:pPr>
            <w:r w:rsidRPr="001E57EA">
              <w:rPr>
                <w:rFonts w:ascii="Arial" w:hAnsi="Arial"/>
                <w:sz w:val="16"/>
                <w:szCs w:val="16"/>
              </w:rPr>
              <w:t>% poslodavaca koji su spremni na zapošljavanje žrtava nasilja</w:t>
            </w:r>
          </w:p>
        </w:tc>
        <w:tc>
          <w:tcPr>
            <w:tcW w:w="944" w:type="pct"/>
            <w:tcMar>
              <w:top w:w="0" w:type="dxa"/>
              <w:left w:w="108" w:type="dxa"/>
              <w:bottom w:w="0" w:type="dxa"/>
              <w:right w:w="108" w:type="dxa"/>
            </w:tcMar>
            <w:vAlign w:val="center"/>
          </w:tcPr>
          <w:p w:rsidR="00715EE0" w:rsidRPr="001E57EA" w:rsidRDefault="00715EE0" w:rsidP="001D3A80">
            <w:pPr>
              <w:spacing w:before="40" w:after="40"/>
              <w:jc w:val="center"/>
              <w:rPr>
                <w:rFonts w:ascii="Arial" w:hAnsi="Arial"/>
                <w:sz w:val="16"/>
                <w:szCs w:val="16"/>
                <w:lang w:val="bs-Latn-BA"/>
              </w:rPr>
            </w:pPr>
            <w:r w:rsidRPr="001E57EA">
              <w:rPr>
                <w:rFonts w:ascii="Arial" w:hAnsi="Arial"/>
                <w:sz w:val="16"/>
              </w:rPr>
              <w:t>18% (2018)</w:t>
            </w:r>
          </w:p>
        </w:tc>
        <w:tc>
          <w:tcPr>
            <w:tcW w:w="835" w:type="pct"/>
            <w:vAlign w:val="center"/>
          </w:tcPr>
          <w:p w:rsidR="00715EE0" w:rsidRPr="001E57EA" w:rsidRDefault="00715EE0" w:rsidP="001D3A80">
            <w:pPr>
              <w:spacing w:before="40" w:after="40"/>
              <w:jc w:val="center"/>
              <w:rPr>
                <w:rFonts w:ascii="Arial" w:hAnsi="Arial"/>
                <w:sz w:val="16"/>
                <w:szCs w:val="16"/>
                <w:lang w:val="bs-Latn-BA"/>
              </w:rPr>
            </w:pPr>
            <w:r w:rsidRPr="001E57EA">
              <w:rPr>
                <w:rFonts w:ascii="Arial" w:hAnsi="Arial"/>
                <w:sz w:val="16"/>
              </w:rPr>
              <w:t>50% (2020)</w:t>
            </w:r>
          </w:p>
        </w:tc>
      </w:tr>
      <w:tr w:rsidR="001E57EA" w:rsidRPr="001E57EA" w:rsidTr="00805D8D">
        <w:trPr>
          <w:trHeight w:val="406"/>
          <w:jc w:val="center"/>
        </w:trPr>
        <w:tc>
          <w:tcPr>
            <w:tcW w:w="764" w:type="pct"/>
            <w:vMerge/>
            <w:vAlign w:val="center"/>
          </w:tcPr>
          <w:p w:rsidR="00715EE0" w:rsidRPr="001E57EA" w:rsidRDefault="00715EE0" w:rsidP="00715EE0">
            <w:pPr>
              <w:spacing w:before="40" w:after="40"/>
              <w:rPr>
                <w:rFonts w:ascii="Arial" w:hAnsi="Arial"/>
                <w:b/>
                <w:bCs/>
                <w:sz w:val="16"/>
                <w:szCs w:val="16"/>
              </w:rPr>
            </w:pPr>
          </w:p>
        </w:tc>
        <w:tc>
          <w:tcPr>
            <w:tcW w:w="697" w:type="pct"/>
            <w:vMerge/>
            <w:vAlign w:val="center"/>
          </w:tcPr>
          <w:p w:rsidR="00715EE0" w:rsidRPr="001E57EA" w:rsidRDefault="00715EE0" w:rsidP="00715EE0">
            <w:pPr>
              <w:spacing w:before="40" w:after="40"/>
              <w:rPr>
                <w:rFonts w:ascii="Arial" w:hAnsi="Arial"/>
                <w:sz w:val="16"/>
                <w:szCs w:val="16"/>
              </w:rPr>
            </w:pPr>
          </w:p>
        </w:tc>
        <w:tc>
          <w:tcPr>
            <w:tcW w:w="1760" w:type="pct"/>
            <w:tcMar>
              <w:top w:w="0" w:type="dxa"/>
              <w:left w:w="108" w:type="dxa"/>
              <w:bottom w:w="0" w:type="dxa"/>
              <w:right w:w="108" w:type="dxa"/>
            </w:tcMar>
          </w:tcPr>
          <w:p w:rsidR="00715EE0" w:rsidRPr="001E57EA" w:rsidRDefault="00715EE0" w:rsidP="00715EE0">
            <w:pPr>
              <w:spacing w:before="40" w:after="40"/>
              <w:rPr>
                <w:rFonts w:ascii="Arial" w:hAnsi="Arial"/>
                <w:sz w:val="16"/>
                <w:szCs w:val="16"/>
                <w:lang w:val="bs-Latn-BA"/>
              </w:rPr>
            </w:pPr>
            <w:r w:rsidRPr="001E57EA">
              <w:rPr>
                <w:rFonts w:ascii="Arial" w:hAnsi="Arial"/>
                <w:sz w:val="16"/>
                <w:szCs w:val="16"/>
              </w:rPr>
              <w:t>% djece koja su u predmetima nasilja u porodici prepoznata kao žrtve nasilja</w:t>
            </w:r>
          </w:p>
        </w:tc>
        <w:tc>
          <w:tcPr>
            <w:tcW w:w="944" w:type="pct"/>
            <w:tcMar>
              <w:top w:w="0" w:type="dxa"/>
              <w:left w:w="108" w:type="dxa"/>
              <w:bottom w:w="0" w:type="dxa"/>
              <w:right w:w="108" w:type="dxa"/>
            </w:tcMar>
            <w:vAlign w:val="center"/>
          </w:tcPr>
          <w:p w:rsidR="00715EE0" w:rsidRPr="001E57EA" w:rsidRDefault="00715EE0" w:rsidP="001D3A80">
            <w:pPr>
              <w:spacing w:before="40" w:after="40"/>
              <w:jc w:val="center"/>
              <w:rPr>
                <w:rFonts w:ascii="Arial" w:hAnsi="Arial"/>
                <w:sz w:val="16"/>
                <w:szCs w:val="16"/>
                <w:lang w:val="bs-Latn-BA"/>
              </w:rPr>
            </w:pPr>
            <w:r w:rsidRPr="001E57EA">
              <w:rPr>
                <w:rFonts w:ascii="Arial" w:hAnsi="Arial"/>
                <w:sz w:val="16"/>
              </w:rPr>
              <w:t>4,6% (2020)</w:t>
            </w:r>
          </w:p>
        </w:tc>
        <w:tc>
          <w:tcPr>
            <w:tcW w:w="835" w:type="pct"/>
            <w:vAlign w:val="center"/>
          </w:tcPr>
          <w:p w:rsidR="00715EE0" w:rsidRPr="001E57EA" w:rsidRDefault="00715EE0" w:rsidP="001D3A80">
            <w:pPr>
              <w:spacing w:before="40" w:after="40"/>
              <w:jc w:val="center"/>
              <w:rPr>
                <w:rFonts w:ascii="Arial" w:hAnsi="Arial"/>
                <w:sz w:val="16"/>
                <w:szCs w:val="16"/>
                <w:lang w:val="bs-Latn-BA"/>
              </w:rPr>
            </w:pPr>
            <w:r w:rsidRPr="001E57EA">
              <w:rPr>
                <w:rFonts w:ascii="Arial" w:hAnsi="Arial"/>
                <w:sz w:val="16"/>
              </w:rPr>
              <w:t>20% (2020)</w:t>
            </w:r>
          </w:p>
        </w:tc>
      </w:tr>
      <w:tr w:rsidR="001E57EA" w:rsidRPr="001E57EA" w:rsidTr="00805D8D">
        <w:trPr>
          <w:trHeight w:val="485"/>
          <w:jc w:val="center"/>
        </w:trPr>
        <w:tc>
          <w:tcPr>
            <w:tcW w:w="764" w:type="pct"/>
            <w:vMerge/>
            <w:vAlign w:val="center"/>
            <w:hideMark/>
          </w:tcPr>
          <w:p w:rsidR="004E7F68" w:rsidRPr="001E57EA" w:rsidRDefault="004E7F68" w:rsidP="00F7078C">
            <w:pPr>
              <w:spacing w:before="40" w:after="40"/>
              <w:rPr>
                <w:rFonts w:ascii="Arial" w:hAnsi="Arial"/>
                <w:b/>
                <w:bCs/>
                <w:sz w:val="16"/>
                <w:szCs w:val="16"/>
              </w:rPr>
            </w:pPr>
          </w:p>
        </w:tc>
        <w:tc>
          <w:tcPr>
            <w:tcW w:w="697" w:type="pct"/>
            <w:vMerge/>
            <w:vAlign w:val="center"/>
            <w:hideMark/>
          </w:tcPr>
          <w:p w:rsidR="004E7F68" w:rsidRPr="001E57EA" w:rsidRDefault="004E7F68"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4E7F68" w:rsidRPr="001E57EA" w:rsidRDefault="004E7F68"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4E7F68" w:rsidRPr="001E57EA" w:rsidRDefault="004E7F68"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326856" w:rsidRPr="001E57EA" w:rsidRDefault="00326856" w:rsidP="00326856">
            <w:pPr>
              <w:spacing w:before="40" w:after="40"/>
              <w:rPr>
                <w:rFonts w:ascii="Arial" w:hAnsi="Arial"/>
                <w:b/>
                <w:bCs/>
                <w:sz w:val="16"/>
                <w:szCs w:val="16"/>
              </w:rPr>
            </w:pPr>
          </w:p>
        </w:tc>
        <w:tc>
          <w:tcPr>
            <w:tcW w:w="697" w:type="pct"/>
            <w:vMerge/>
            <w:vAlign w:val="center"/>
            <w:hideMark/>
          </w:tcPr>
          <w:p w:rsidR="00326856" w:rsidRPr="001E57EA" w:rsidRDefault="00326856" w:rsidP="00326856">
            <w:pPr>
              <w:spacing w:before="40" w:after="40"/>
              <w:rPr>
                <w:rFonts w:ascii="Arial" w:hAnsi="Arial"/>
                <w:sz w:val="16"/>
                <w:szCs w:val="16"/>
              </w:rPr>
            </w:pPr>
          </w:p>
        </w:tc>
        <w:tc>
          <w:tcPr>
            <w:tcW w:w="1760" w:type="pct"/>
            <w:tcMar>
              <w:top w:w="0" w:type="dxa"/>
              <w:left w:w="108" w:type="dxa"/>
              <w:bottom w:w="0" w:type="dxa"/>
              <w:right w:w="108" w:type="dxa"/>
            </w:tcMar>
            <w:vAlign w:val="center"/>
          </w:tcPr>
          <w:p w:rsidR="00326856" w:rsidRPr="001E57EA" w:rsidRDefault="00F5454D" w:rsidP="00326856">
            <w:pPr>
              <w:spacing w:before="40" w:after="40"/>
              <w:rPr>
                <w:rFonts w:ascii="Arial" w:hAnsi="Arial"/>
                <w:sz w:val="16"/>
                <w:szCs w:val="16"/>
              </w:rPr>
            </w:pPr>
            <w:r w:rsidRPr="001E57EA">
              <w:rPr>
                <w:rFonts w:ascii="Arial" w:hAnsi="Arial"/>
                <w:sz w:val="16"/>
                <w:szCs w:val="16"/>
              </w:rPr>
              <w:t>457.000</w:t>
            </w:r>
          </w:p>
        </w:tc>
        <w:tc>
          <w:tcPr>
            <w:tcW w:w="944"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rPr>
            </w:pPr>
            <w:r w:rsidRPr="001E57EA">
              <w:rPr>
                <w:rFonts w:ascii="Arial" w:hAnsi="Arial"/>
                <w:sz w:val="16"/>
                <w:szCs w:val="16"/>
              </w:rPr>
              <w:t>360.000</w:t>
            </w:r>
          </w:p>
        </w:tc>
        <w:tc>
          <w:tcPr>
            <w:tcW w:w="835"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rPr>
            </w:pPr>
            <w:r w:rsidRPr="001E57EA">
              <w:rPr>
                <w:rFonts w:ascii="Arial" w:hAnsi="Arial"/>
                <w:sz w:val="16"/>
                <w:szCs w:val="16"/>
              </w:rPr>
              <w:t>817.000</w:t>
            </w:r>
          </w:p>
        </w:tc>
      </w:tr>
      <w:tr w:rsidR="001E57EA" w:rsidRPr="001E57EA" w:rsidTr="00805D8D">
        <w:trPr>
          <w:trHeight w:val="485"/>
          <w:jc w:val="center"/>
        </w:trPr>
        <w:tc>
          <w:tcPr>
            <w:tcW w:w="764" w:type="pct"/>
            <w:vMerge w:val="restart"/>
            <w:shd w:val="clear" w:color="auto" w:fill="FBE4D5"/>
            <w:tcMar>
              <w:top w:w="0" w:type="dxa"/>
              <w:left w:w="108" w:type="dxa"/>
              <w:bottom w:w="0" w:type="dxa"/>
              <w:right w:w="108" w:type="dxa"/>
            </w:tcMar>
            <w:vAlign w:val="center"/>
            <w:hideMark/>
          </w:tcPr>
          <w:p w:rsidR="00D8543E" w:rsidRPr="001E57EA" w:rsidRDefault="00D8543E" w:rsidP="00D8543E">
            <w:pPr>
              <w:spacing w:before="40" w:after="40"/>
              <w:rPr>
                <w:rFonts w:ascii="Arial" w:hAnsi="Arial"/>
                <w:b/>
                <w:bCs/>
                <w:sz w:val="16"/>
                <w:szCs w:val="16"/>
                <w:lang w:val="bs-Latn-BA"/>
              </w:rPr>
            </w:pPr>
            <w:r w:rsidRPr="001E57EA">
              <w:rPr>
                <w:rFonts w:ascii="Arial" w:hAnsi="Arial"/>
                <w:b/>
                <w:bCs/>
                <w:sz w:val="16"/>
                <w:szCs w:val="16"/>
                <w:lang w:val="bs-Latn-BA"/>
              </w:rPr>
              <w:lastRenderedPageBreak/>
              <w:t>1.1.3. Mjera</w:t>
            </w:r>
          </w:p>
        </w:tc>
        <w:tc>
          <w:tcPr>
            <w:tcW w:w="697" w:type="pct"/>
            <w:vMerge w:val="restart"/>
            <w:tcMar>
              <w:top w:w="0" w:type="dxa"/>
              <w:left w:w="108" w:type="dxa"/>
              <w:bottom w:w="0" w:type="dxa"/>
              <w:right w:w="108" w:type="dxa"/>
            </w:tcMar>
            <w:vAlign w:val="center"/>
          </w:tcPr>
          <w:p w:rsidR="00D8543E" w:rsidRPr="001E57EA" w:rsidRDefault="00D8543E" w:rsidP="00F7078C">
            <w:pPr>
              <w:spacing w:before="40" w:after="40"/>
              <w:rPr>
                <w:rFonts w:ascii="Arial" w:hAnsi="Arial"/>
                <w:sz w:val="16"/>
                <w:szCs w:val="16"/>
                <w:lang w:val="bs-Latn-BA"/>
              </w:rPr>
            </w:pPr>
            <w:r w:rsidRPr="001E57EA">
              <w:rPr>
                <w:rFonts w:ascii="Arial" w:hAnsi="Arial"/>
                <w:sz w:val="16"/>
                <w:szCs w:val="16"/>
                <w:lang w:val="bs-Latn-BA"/>
              </w:rPr>
              <w:t>Unaprijediti proces praćenja primjene propisa i usklađivanja sa stvarnim potrebama</w:t>
            </w: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485"/>
          <w:jc w:val="center"/>
        </w:trPr>
        <w:tc>
          <w:tcPr>
            <w:tcW w:w="764" w:type="pct"/>
            <w:vMerge/>
            <w:vAlign w:val="center"/>
            <w:hideMark/>
          </w:tcPr>
          <w:p w:rsidR="00D8543E" w:rsidRPr="001E57EA" w:rsidRDefault="00D8543E" w:rsidP="00D8543E">
            <w:pPr>
              <w:spacing w:before="40" w:after="40"/>
              <w:rPr>
                <w:rFonts w:ascii="Arial" w:hAnsi="Arial"/>
                <w:b/>
                <w:bCs/>
                <w:sz w:val="16"/>
                <w:szCs w:val="16"/>
              </w:rPr>
            </w:pPr>
          </w:p>
        </w:tc>
        <w:tc>
          <w:tcPr>
            <w:tcW w:w="697" w:type="pct"/>
            <w:vMerge/>
            <w:vAlign w:val="center"/>
            <w:hideMark/>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tcPr>
          <w:p w:rsidR="00D8543E" w:rsidRPr="001E57EA" w:rsidRDefault="00D8543E" w:rsidP="00D8543E">
            <w:pPr>
              <w:spacing w:before="40" w:after="40"/>
              <w:rPr>
                <w:rFonts w:ascii="Arial" w:hAnsi="Arial"/>
                <w:sz w:val="16"/>
                <w:szCs w:val="16"/>
                <w:lang w:val="bs-Latn-BA"/>
              </w:rPr>
            </w:pPr>
            <w:r w:rsidRPr="001E57EA">
              <w:rPr>
                <w:rFonts w:ascii="Arial" w:hAnsi="Arial"/>
                <w:sz w:val="16"/>
                <w:szCs w:val="16"/>
              </w:rPr>
              <w:t>Broj izvještaja o provedbi Zakona o zaštiti od nasilja u porodici prema Parlamentu Federacije BiH</w:t>
            </w:r>
          </w:p>
        </w:tc>
        <w:tc>
          <w:tcPr>
            <w:tcW w:w="944"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0</w:t>
            </w:r>
          </w:p>
        </w:tc>
        <w:tc>
          <w:tcPr>
            <w:tcW w:w="835" w:type="pct"/>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1 godišnje</w:t>
            </w:r>
          </w:p>
        </w:tc>
      </w:tr>
      <w:tr w:rsidR="001E57EA" w:rsidRPr="001E57EA" w:rsidTr="00805D8D">
        <w:trPr>
          <w:trHeight w:val="485"/>
          <w:jc w:val="center"/>
        </w:trPr>
        <w:tc>
          <w:tcPr>
            <w:tcW w:w="764" w:type="pct"/>
            <w:vMerge/>
            <w:vAlign w:val="center"/>
          </w:tcPr>
          <w:p w:rsidR="00D8543E" w:rsidRPr="001E57EA" w:rsidRDefault="00D8543E" w:rsidP="00D8543E">
            <w:pPr>
              <w:spacing w:before="40" w:after="40"/>
              <w:rPr>
                <w:rFonts w:ascii="Arial" w:hAnsi="Arial"/>
                <w:b/>
                <w:bCs/>
                <w:sz w:val="16"/>
                <w:szCs w:val="16"/>
              </w:rPr>
            </w:pPr>
          </w:p>
        </w:tc>
        <w:tc>
          <w:tcPr>
            <w:tcW w:w="697" w:type="pct"/>
            <w:vMerge/>
            <w:vAlign w:val="center"/>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tcPr>
          <w:p w:rsidR="00D8543E" w:rsidRPr="001E57EA" w:rsidRDefault="00D8543E" w:rsidP="00D8543E">
            <w:pPr>
              <w:spacing w:before="40" w:after="40"/>
              <w:rPr>
                <w:rFonts w:ascii="Arial" w:hAnsi="Arial"/>
                <w:sz w:val="16"/>
                <w:szCs w:val="16"/>
                <w:lang w:val="bs-Latn-BA"/>
              </w:rPr>
            </w:pPr>
            <w:r w:rsidRPr="001E57EA">
              <w:rPr>
                <w:rFonts w:ascii="Arial" w:hAnsi="Arial"/>
                <w:sz w:val="16"/>
                <w:szCs w:val="16"/>
              </w:rPr>
              <w:t xml:space="preserve">% </w:t>
            </w:r>
            <w:r w:rsidR="0009144E" w:rsidRPr="001E57EA">
              <w:rPr>
                <w:rFonts w:ascii="Arial" w:hAnsi="Arial"/>
                <w:sz w:val="16"/>
                <w:szCs w:val="16"/>
              </w:rPr>
              <w:t xml:space="preserve">izmijenjenih </w:t>
            </w:r>
            <w:r w:rsidRPr="001E57EA">
              <w:rPr>
                <w:rFonts w:ascii="Arial" w:hAnsi="Arial"/>
                <w:sz w:val="16"/>
                <w:szCs w:val="16"/>
              </w:rPr>
              <w:t>propisa za koje su date preporuke</w:t>
            </w:r>
          </w:p>
        </w:tc>
        <w:tc>
          <w:tcPr>
            <w:tcW w:w="944"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Nema podataka</w:t>
            </w:r>
          </w:p>
        </w:tc>
        <w:tc>
          <w:tcPr>
            <w:tcW w:w="835" w:type="pct"/>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100%</w:t>
            </w:r>
          </w:p>
        </w:tc>
      </w:tr>
      <w:tr w:rsidR="001E57EA" w:rsidRPr="001E57EA" w:rsidTr="00805D8D">
        <w:trPr>
          <w:trHeight w:val="471"/>
          <w:jc w:val="center"/>
        </w:trPr>
        <w:tc>
          <w:tcPr>
            <w:tcW w:w="764" w:type="pct"/>
            <w:vMerge/>
            <w:vAlign w:val="center"/>
          </w:tcPr>
          <w:p w:rsidR="00D8543E" w:rsidRPr="001E57EA" w:rsidRDefault="00D8543E" w:rsidP="00D8543E">
            <w:pPr>
              <w:spacing w:before="40" w:after="40"/>
              <w:rPr>
                <w:rFonts w:ascii="Arial" w:hAnsi="Arial"/>
                <w:b/>
                <w:bCs/>
                <w:sz w:val="16"/>
                <w:szCs w:val="16"/>
              </w:rPr>
            </w:pPr>
          </w:p>
        </w:tc>
        <w:tc>
          <w:tcPr>
            <w:tcW w:w="697" w:type="pct"/>
            <w:vMerge/>
            <w:vAlign w:val="center"/>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tcPr>
          <w:p w:rsidR="00D8543E" w:rsidRPr="001E57EA" w:rsidRDefault="00D8543E" w:rsidP="00D8543E">
            <w:pPr>
              <w:spacing w:before="40" w:after="40"/>
              <w:rPr>
                <w:rFonts w:ascii="Arial" w:hAnsi="Arial"/>
                <w:sz w:val="16"/>
                <w:szCs w:val="16"/>
                <w:lang w:val="bs-Latn-BA"/>
              </w:rPr>
            </w:pPr>
            <w:r w:rsidRPr="001E57EA">
              <w:rPr>
                <w:rFonts w:ascii="Arial" w:hAnsi="Arial"/>
                <w:sz w:val="16"/>
                <w:szCs w:val="16"/>
              </w:rPr>
              <w:t>Broj godišnjih izvještaja/informacija koordinacionih tijela prema vladama</w:t>
            </w:r>
          </w:p>
        </w:tc>
        <w:tc>
          <w:tcPr>
            <w:tcW w:w="944"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6 (2020)</w:t>
            </w:r>
          </w:p>
        </w:tc>
        <w:tc>
          <w:tcPr>
            <w:tcW w:w="835" w:type="pct"/>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11 godišnje</w:t>
            </w:r>
          </w:p>
        </w:tc>
      </w:tr>
      <w:tr w:rsidR="001E57EA" w:rsidRPr="001E57EA" w:rsidTr="00805D8D">
        <w:trPr>
          <w:trHeight w:val="485"/>
          <w:jc w:val="center"/>
        </w:trPr>
        <w:tc>
          <w:tcPr>
            <w:tcW w:w="764" w:type="pct"/>
            <w:vMerge/>
            <w:vAlign w:val="center"/>
            <w:hideMark/>
          </w:tcPr>
          <w:p w:rsidR="00D8543E" w:rsidRPr="001E57EA" w:rsidRDefault="00D8543E" w:rsidP="00F7078C">
            <w:pPr>
              <w:spacing w:before="40" w:after="40"/>
              <w:rPr>
                <w:rFonts w:ascii="Arial" w:hAnsi="Arial"/>
                <w:b/>
                <w:bCs/>
                <w:sz w:val="16"/>
                <w:szCs w:val="16"/>
              </w:rPr>
            </w:pPr>
          </w:p>
        </w:tc>
        <w:tc>
          <w:tcPr>
            <w:tcW w:w="697" w:type="pct"/>
            <w:vMerge/>
            <w:vAlign w:val="center"/>
            <w:hideMark/>
          </w:tcPr>
          <w:p w:rsidR="00D8543E" w:rsidRPr="001E57EA" w:rsidRDefault="00D8543E"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326856" w:rsidRPr="001E57EA" w:rsidRDefault="00326856" w:rsidP="00326856">
            <w:pPr>
              <w:spacing w:before="40" w:after="40"/>
              <w:rPr>
                <w:rFonts w:ascii="Arial" w:hAnsi="Arial"/>
                <w:b/>
                <w:bCs/>
                <w:sz w:val="16"/>
                <w:szCs w:val="16"/>
              </w:rPr>
            </w:pPr>
          </w:p>
        </w:tc>
        <w:tc>
          <w:tcPr>
            <w:tcW w:w="697" w:type="pct"/>
            <w:vMerge/>
            <w:vAlign w:val="center"/>
            <w:hideMark/>
          </w:tcPr>
          <w:p w:rsidR="00326856" w:rsidRPr="001E57EA" w:rsidRDefault="00326856" w:rsidP="00326856">
            <w:pPr>
              <w:spacing w:before="40" w:after="40"/>
              <w:rPr>
                <w:rFonts w:ascii="Arial" w:hAnsi="Arial"/>
                <w:sz w:val="16"/>
                <w:szCs w:val="16"/>
              </w:rPr>
            </w:pPr>
          </w:p>
        </w:tc>
        <w:tc>
          <w:tcPr>
            <w:tcW w:w="1760" w:type="pct"/>
            <w:tcMar>
              <w:top w:w="0" w:type="dxa"/>
              <w:left w:w="108" w:type="dxa"/>
              <w:bottom w:w="0" w:type="dxa"/>
              <w:right w:w="108" w:type="dxa"/>
            </w:tcMar>
            <w:vAlign w:val="center"/>
          </w:tcPr>
          <w:p w:rsidR="00326856" w:rsidRPr="001E57EA" w:rsidRDefault="00F5454D" w:rsidP="00326856">
            <w:pPr>
              <w:spacing w:before="40" w:after="40"/>
              <w:rPr>
                <w:rFonts w:ascii="Arial" w:hAnsi="Arial"/>
                <w:sz w:val="16"/>
                <w:szCs w:val="16"/>
              </w:rPr>
            </w:pPr>
            <w:r w:rsidRPr="001E57EA">
              <w:rPr>
                <w:rFonts w:ascii="Arial" w:hAnsi="Arial"/>
                <w:sz w:val="16"/>
                <w:szCs w:val="16"/>
              </w:rPr>
              <w:t>320.000</w:t>
            </w:r>
          </w:p>
        </w:tc>
        <w:tc>
          <w:tcPr>
            <w:tcW w:w="944"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rPr>
            </w:pPr>
            <w:r w:rsidRPr="001E57EA">
              <w:rPr>
                <w:rFonts w:ascii="Arial" w:hAnsi="Arial"/>
                <w:sz w:val="16"/>
                <w:szCs w:val="16"/>
              </w:rPr>
              <w:t>40.000</w:t>
            </w:r>
          </w:p>
        </w:tc>
        <w:tc>
          <w:tcPr>
            <w:tcW w:w="835"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rPr>
            </w:pPr>
            <w:r w:rsidRPr="001E57EA">
              <w:rPr>
                <w:rFonts w:ascii="Arial" w:hAnsi="Arial"/>
                <w:sz w:val="16"/>
                <w:szCs w:val="16"/>
              </w:rPr>
              <w:t>360.000</w:t>
            </w:r>
          </w:p>
        </w:tc>
      </w:tr>
      <w:tr w:rsidR="001E57EA" w:rsidRPr="001E57EA" w:rsidTr="00805D8D">
        <w:trPr>
          <w:trHeight w:val="386"/>
          <w:jc w:val="center"/>
        </w:trPr>
        <w:tc>
          <w:tcPr>
            <w:tcW w:w="764" w:type="pct"/>
            <w:vMerge w:val="restart"/>
            <w:shd w:val="clear" w:color="auto" w:fill="B4C6E7"/>
            <w:tcMar>
              <w:top w:w="0" w:type="dxa"/>
              <w:left w:w="108" w:type="dxa"/>
              <w:bottom w:w="0" w:type="dxa"/>
              <w:right w:w="108" w:type="dxa"/>
            </w:tcMar>
            <w:vAlign w:val="center"/>
          </w:tcPr>
          <w:p w:rsidR="00D8543E" w:rsidRPr="001E57EA" w:rsidRDefault="00D8543E" w:rsidP="00F7078C">
            <w:pPr>
              <w:spacing w:before="40" w:after="40"/>
              <w:rPr>
                <w:rFonts w:ascii="Arial" w:hAnsi="Arial"/>
                <w:b/>
                <w:bCs/>
                <w:sz w:val="16"/>
                <w:szCs w:val="16"/>
                <w:lang w:val="bs-Latn-BA"/>
              </w:rPr>
            </w:pPr>
            <w:r w:rsidRPr="001E57EA">
              <w:rPr>
                <w:rFonts w:ascii="Arial" w:hAnsi="Arial"/>
                <w:b/>
                <w:bCs/>
                <w:sz w:val="16"/>
                <w:szCs w:val="16"/>
                <w:lang w:val="bs-Latn-BA"/>
              </w:rPr>
              <w:t>1.2. Prioritet</w:t>
            </w:r>
          </w:p>
          <w:p w:rsidR="00D8543E" w:rsidRPr="001E57EA" w:rsidRDefault="00D8543E" w:rsidP="00F7078C">
            <w:pPr>
              <w:spacing w:before="40" w:after="40"/>
              <w:rPr>
                <w:rFonts w:ascii="Arial" w:hAnsi="Arial"/>
                <w:b/>
                <w:bCs/>
                <w:sz w:val="16"/>
                <w:szCs w:val="16"/>
                <w:lang w:val="bs-Latn-BA"/>
              </w:rPr>
            </w:pPr>
          </w:p>
        </w:tc>
        <w:tc>
          <w:tcPr>
            <w:tcW w:w="697" w:type="pct"/>
            <w:vMerge w:val="restart"/>
            <w:tcMar>
              <w:top w:w="0" w:type="dxa"/>
              <w:left w:w="108" w:type="dxa"/>
              <w:bottom w:w="0" w:type="dxa"/>
              <w:right w:w="108" w:type="dxa"/>
            </w:tcMar>
            <w:vAlign w:val="center"/>
          </w:tcPr>
          <w:p w:rsidR="00D8543E" w:rsidRPr="001E57EA" w:rsidRDefault="00D8543E" w:rsidP="00F7078C">
            <w:pPr>
              <w:spacing w:before="40" w:after="40"/>
              <w:rPr>
                <w:rFonts w:ascii="Arial" w:hAnsi="Arial"/>
                <w:sz w:val="16"/>
                <w:szCs w:val="16"/>
                <w:lang w:val="bs-Latn-BA"/>
              </w:rPr>
            </w:pPr>
            <w:r w:rsidRPr="001E57EA">
              <w:rPr>
                <w:rFonts w:ascii="Arial" w:hAnsi="Arial"/>
                <w:sz w:val="16"/>
                <w:szCs w:val="16"/>
                <w:lang w:val="bs-Latn-BA"/>
              </w:rPr>
              <w:t>Unaprijediti sistem sveobuhvatne i efikasne zaštite žrtava nasilja u porodici</w:t>
            </w: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Indikatori prioriteta</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Ciljne vrijednosti indikatora</w:t>
            </w:r>
          </w:p>
        </w:tc>
      </w:tr>
      <w:tr w:rsidR="001E57EA" w:rsidRPr="001E57EA" w:rsidTr="00805D8D">
        <w:trPr>
          <w:trHeight w:val="734"/>
          <w:jc w:val="center"/>
        </w:trPr>
        <w:tc>
          <w:tcPr>
            <w:tcW w:w="764" w:type="pct"/>
            <w:vMerge/>
            <w:vAlign w:val="center"/>
            <w:hideMark/>
          </w:tcPr>
          <w:p w:rsidR="00D8543E" w:rsidRPr="001E57EA" w:rsidRDefault="00D8543E" w:rsidP="00D8543E">
            <w:pPr>
              <w:spacing w:before="40" w:after="40"/>
              <w:rPr>
                <w:rFonts w:ascii="Arial" w:hAnsi="Arial"/>
                <w:b/>
                <w:bCs/>
                <w:sz w:val="16"/>
                <w:szCs w:val="16"/>
                <w:lang w:val="bs-Latn-BA"/>
              </w:rPr>
            </w:pPr>
          </w:p>
        </w:tc>
        <w:tc>
          <w:tcPr>
            <w:tcW w:w="697" w:type="pct"/>
            <w:vMerge/>
            <w:vAlign w:val="center"/>
            <w:hideMark/>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tcPr>
          <w:p w:rsidR="00D8543E" w:rsidRPr="001E57EA" w:rsidRDefault="00D8543E" w:rsidP="00D8543E">
            <w:pPr>
              <w:spacing w:before="40" w:after="40"/>
              <w:rPr>
                <w:rFonts w:ascii="Arial" w:hAnsi="Arial"/>
                <w:sz w:val="16"/>
                <w:szCs w:val="16"/>
                <w:lang w:val="bs-Latn-BA"/>
              </w:rPr>
            </w:pPr>
            <w:r w:rsidRPr="001E57EA">
              <w:rPr>
                <w:rFonts w:ascii="Arial" w:hAnsi="Arial"/>
                <w:sz w:val="16"/>
                <w:szCs w:val="16"/>
              </w:rPr>
              <w:t>% žrtva nasilja koje su štićene zaštitnom mjerom u odnosu na broj prijava</w:t>
            </w:r>
          </w:p>
        </w:tc>
        <w:tc>
          <w:tcPr>
            <w:tcW w:w="944"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13,4% (2019)</w:t>
            </w:r>
          </w:p>
        </w:tc>
        <w:tc>
          <w:tcPr>
            <w:tcW w:w="835"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100% (2027)</w:t>
            </w:r>
          </w:p>
        </w:tc>
      </w:tr>
      <w:tr w:rsidR="001E57EA" w:rsidRPr="001E57EA" w:rsidTr="00805D8D">
        <w:trPr>
          <w:trHeight w:val="377"/>
          <w:jc w:val="center"/>
        </w:trPr>
        <w:tc>
          <w:tcPr>
            <w:tcW w:w="764" w:type="pct"/>
            <w:vMerge/>
            <w:vAlign w:val="center"/>
            <w:hideMark/>
          </w:tcPr>
          <w:p w:rsidR="00D8543E" w:rsidRPr="001E57EA" w:rsidRDefault="00D8543E" w:rsidP="00F7078C">
            <w:pPr>
              <w:spacing w:before="40" w:after="40"/>
              <w:rPr>
                <w:rFonts w:ascii="Arial" w:hAnsi="Arial"/>
                <w:b/>
                <w:bCs/>
                <w:sz w:val="16"/>
                <w:szCs w:val="16"/>
                <w:lang w:val="bs-Latn-BA"/>
              </w:rPr>
            </w:pPr>
          </w:p>
        </w:tc>
        <w:tc>
          <w:tcPr>
            <w:tcW w:w="697" w:type="pct"/>
            <w:vMerge/>
            <w:vAlign w:val="center"/>
            <w:hideMark/>
          </w:tcPr>
          <w:p w:rsidR="00D8543E" w:rsidRPr="001E57EA" w:rsidRDefault="00D8543E"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326856" w:rsidRPr="001E57EA" w:rsidRDefault="00326856" w:rsidP="00326856">
            <w:pPr>
              <w:spacing w:before="40" w:after="40"/>
              <w:rPr>
                <w:rFonts w:ascii="Arial" w:hAnsi="Arial"/>
                <w:b/>
                <w:bCs/>
                <w:sz w:val="16"/>
                <w:szCs w:val="16"/>
                <w:lang w:val="bs-Latn-BA"/>
              </w:rPr>
            </w:pPr>
          </w:p>
        </w:tc>
        <w:tc>
          <w:tcPr>
            <w:tcW w:w="697" w:type="pct"/>
            <w:vMerge/>
            <w:vAlign w:val="center"/>
            <w:hideMark/>
          </w:tcPr>
          <w:p w:rsidR="00326856" w:rsidRPr="001E57EA" w:rsidRDefault="00326856" w:rsidP="00326856">
            <w:pPr>
              <w:spacing w:before="40" w:after="40"/>
              <w:rPr>
                <w:rFonts w:ascii="Arial" w:hAnsi="Arial"/>
                <w:sz w:val="16"/>
                <w:szCs w:val="16"/>
              </w:rPr>
            </w:pPr>
          </w:p>
        </w:tc>
        <w:tc>
          <w:tcPr>
            <w:tcW w:w="1760" w:type="pct"/>
            <w:tcMar>
              <w:top w:w="0" w:type="dxa"/>
              <w:left w:w="108" w:type="dxa"/>
              <w:bottom w:w="0" w:type="dxa"/>
              <w:right w:w="108" w:type="dxa"/>
            </w:tcMar>
            <w:vAlign w:val="center"/>
          </w:tcPr>
          <w:p w:rsidR="00326856" w:rsidRPr="001E57EA" w:rsidRDefault="00F5454D" w:rsidP="00326856">
            <w:pPr>
              <w:spacing w:before="40" w:after="40"/>
              <w:rPr>
                <w:rFonts w:ascii="Arial" w:hAnsi="Arial"/>
                <w:sz w:val="16"/>
                <w:szCs w:val="16"/>
                <w:lang w:val="bs-Latn-BA"/>
              </w:rPr>
            </w:pPr>
            <w:r w:rsidRPr="001E57EA">
              <w:rPr>
                <w:rFonts w:ascii="Arial" w:hAnsi="Arial"/>
                <w:sz w:val="16"/>
                <w:szCs w:val="16"/>
                <w:lang w:val="bs-Latn-BA"/>
              </w:rPr>
              <w:t>700.000</w:t>
            </w:r>
          </w:p>
        </w:tc>
        <w:tc>
          <w:tcPr>
            <w:tcW w:w="944"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lang w:val="bs-Latn-BA"/>
              </w:rPr>
            </w:pPr>
            <w:r w:rsidRPr="001E57EA">
              <w:rPr>
                <w:rFonts w:ascii="Arial" w:hAnsi="Arial"/>
                <w:sz w:val="16"/>
                <w:szCs w:val="16"/>
                <w:lang w:val="bs-Latn-BA"/>
              </w:rPr>
              <w:t>740.000</w:t>
            </w:r>
          </w:p>
        </w:tc>
        <w:tc>
          <w:tcPr>
            <w:tcW w:w="835"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lang w:val="bs-Latn-BA"/>
              </w:rPr>
            </w:pPr>
            <w:r w:rsidRPr="001E57EA">
              <w:rPr>
                <w:rFonts w:ascii="Arial" w:hAnsi="Arial"/>
                <w:sz w:val="16"/>
                <w:szCs w:val="16"/>
                <w:lang w:val="bs-Latn-BA"/>
              </w:rPr>
              <w:t>1.440.000</w:t>
            </w:r>
          </w:p>
        </w:tc>
      </w:tr>
      <w:tr w:rsidR="001E57EA" w:rsidRPr="001E57EA" w:rsidTr="00805D8D">
        <w:trPr>
          <w:trHeight w:val="485"/>
          <w:jc w:val="center"/>
        </w:trPr>
        <w:tc>
          <w:tcPr>
            <w:tcW w:w="764" w:type="pct"/>
            <w:vMerge w:val="restart"/>
            <w:shd w:val="clear" w:color="auto" w:fill="FBE4D5"/>
            <w:tcMar>
              <w:top w:w="0" w:type="dxa"/>
              <w:left w:w="108" w:type="dxa"/>
              <w:bottom w:w="0" w:type="dxa"/>
              <w:right w:w="108" w:type="dxa"/>
            </w:tcMar>
            <w:vAlign w:val="center"/>
            <w:hideMark/>
          </w:tcPr>
          <w:p w:rsidR="00D8543E" w:rsidRPr="001E57EA" w:rsidRDefault="00D8543E" w:rsidP="00D8543E">
            <w:pPr>
              <w:spacing w:before="40" w:after="40"/>
              <w:rPr>
                <w:rFonts w:ascii="Arial" w:hAnsi="Arial"/>
                <w:b/>
                <w:bCs/>
                <w:sz w:val="16"/>
                <w:szCs w:val="16"/>
                <w:lang w:val="bs-Latn-BA"/>
              </w:rPr>
            </w:pPr>
            <w:r w:rsidRPr="001E57EA">
              <w:rPr>
                <w:rFonts w:ascii="Arial" w:hAnsi="Arial"/>
                <w:b/>
                <w:bCs/>
                <w:sz w:val="16"/>
                <w:szCs w:val="16"/>
                <w:lang w:val="bs-Latn-BA"/>
              </w:rPr>
              <w:t>1.2.1. Mjera</w:t>
            </w:r>
          </w:p>
        </w:tc>
        <w:tc>
          <w:tcPr>
            <w:tcW w:w="697" w:type="pct"/>
            <w:vMerge w:val="restart"/>
            <w:tcMar>
              <w:top w:w="0" w:type="dxa"/>
              <w:left w:w="108" w:type="dxa"/>
              <w:bottom w:w="0" w:type="dxa"/>
              <w:right w:w="108" w:type="dxa"/>
            </w:tcMar>
            <w:vAlign w:val="center"/>
          </w:tcPr>
          <w:p w:rsidR="00D8543E" w:rsidRPr="001E57EA" w:rsidRDefault="00D8543E" w:rsidP="00F7078C">
            <w:pPr>
              <w:spacing w:before="40" w:after="40"/>
              <w:rPr>
                <w:rFonts w:ascii="Arial" w:hAnsi="Arial"/>
                <w:sz w:val="16"/>
                <w:szCs w:val="16"/>
                <w:lang w:val="bs-Latn-BA"/>
              </w:rPr>
            </w:pPr>
            <w:r w:rsidRPr="001E57EA">
              <w:rPr>
                <w:rFonts w:ascii="Arial" w:hAnsi="Arial"/>
                <w:sz w:val="16"/>
                <w:szCs w:val="16"/>
                <w:lang w:val="bs-Latn-BA"/>
              </w:rPr>
              <w:t>Unapređenje zaštite žrtava nasilja</w:t>
            </w: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485"/>
          <w:jc w:val="center"/>
        </w:trPr>
        <w:tc>
          <w:tcPr>
            <w:tcW w:w="764" w:type="pct"/>
            <w:vMerge/>
            <w:vAlign w:val="center"/>
            <w:hideMark/>
          </w:tcPr>
          <w:p w:rsidR="001D3A80" w:rsidRPr="001E57EA" w:rsidRDefault="001D3A80" w:rsidP="001D3A80">
            <w:pPr>
              <w:spacing w:before="40" w:after="40"/>
              <w:rPr>
                <w:rFonts w:ascii="Arial" w:hAnsi="Arial"/>
                <w:b/>
                <w:bCs/>
                <w:sz w:val="16"/>
                <w:szCs w:val="16"/>
              </w:rPr>
            </w:pPr>
          </w:p>
        </w:tc>
        <w:tc>
          <w:tcPr>
            <w:tcW w:w="697" w:type="pct"/>
            <w:vMerge/>
            <w:vAlign w:val="center"/>
            <w:hideMark/>
          </w:tcPr>
          <w:p w:rsidR="001D3A80" w:rsidRPr="001E57EA" w:rsidRDefault="001D3A80" w:rsidP="001D3A80">
            <w:pPr>
              <w:spacing w:before="40" w:after="40"/>
              <w:rPr>
                <w:rFonts w:ascii="Arial" w:hAnsi="Arial"/>
                <w:sz w:val="16"/>
                <w:szCs w:val="16"/>
              </w:rPr>
            </w:pPr>
          </w:p>
        </w:tc>
        <w:tc>
          <w:tcPr>
            <w:tcW w:w="1760" w:type="pct"/>
            <w:tcMar>
              <w:top w:w="0" w:type="dxa"/>
              <w:left w:w="108" w:type="dxa"/>
              <w:bottom w:w="0" w:type="dxa"/>
              <w:right w:w="108" w:type="dxa"/>
            </w:tcMar>
          </w:tcPr>
          <w:p w:rsidR="001D3A80" w:rsidRPr="001E57EA" w:rsidRDefault="001D3A80" w:rsidP="001D3A80">
            <w:pPr>
              <w:spacing w:before="40" w:after="40"/>
              <w:rPr>
                <w:rFonts w:ascii="Arial" w:hAnsi="Arial"/>
                <w:sz w:val="16"/>
                <w:szCs w:val="16"/>
                <w:lang w:val="bs-Latn-BA"/>
              </w:rPr>
            </w:pPr>
            <w:r w:rsidRPr="001E57EA">
              <w:rPr>
                <w:rFonts w:ascii="Arial" w:hAnsi="Arial"/>
                <w:sz w:val="16"/>
                <w:szCs w:val="16"/>
              </w:rPr>
              <w:t>% djece koja su prepoznata kao osobe koje se štite zaštitnim mjerama</w:t>
            </w:r>
          </w:p>
        </w:tc>
        <w:tc>
          <w:tcPr>
            <w:tcW w:w="944" w:type="pct"/>
            <w:tcMar>
              <w:top w:w="0" w:type="dxa"/>
              <w:left w:w="108" w:type="dxa"/>
              <w:bottom w:w="0" w:type="dxa"/>
              <w:right w:w="108" w:type="dxa"/>
            </w:tcMar>
            <w:vAlign w:val="center"/>
          </w:tcPr>
          <w:p w:rsidR="001D3A80" w:rsidRPr="001E57EA" w:rsidRDefault="001D3A80" w:rsidP="001D3A80">
            <w:pPr>
              <w:pStyle w:val="TekstStrategija"/>
              <w:jc w:val="center"/>
              <w:rPr>
                <w:sz w:val="16"/>
              </w:rPr>
            </w:pPr>
            <w:r w:rsidRPr="001E57EA">
              <w:rPr>
                <w:sz w:val="16"/>
              </w:rPr>
              <w:t>5% (2019)</w:t>
            </w:r>
          </w:p>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6%(2020)</w:t>
            </w:r>
          </w:p>
        </w:tc>
        <w:tc>
          <w:tcPr>
            <w:tcW w:w="835" w:type="pct"/>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20% (2027)</w:t>
            </w:r>
          </w:p>
        </w:tc>
      </w:tr>
      <w:tr w:rsidR="001E57EA" w:rsidRPr="001E57EA" w:rsidTr="00805D8D">
        <w:trPr>
          <w:trHeight w:val="485"/>
          <w:jc w:val="center"/>
        </w:trPr>
        <w:tc>
          <w:tcPr>
            <w:tcW w:w="764" w:type="pct"/>
            <w:vMerge/>
            <w:vAlign w:val="center"/>
          </w:tcPr>
          <w:p w:rsidR="001D3A80" w:rsidRPr="001E57EA" w:rsidRDefault="001D3A80" w:rsidP="001D3A80">
            <w:pPr>
              <w:spacing w:before="40" w:after="40"/>
              <w:rPr>
                <w:rFonts w:ascii="Arial" w:hAnsi="Arial"/>
                <w:b/>
                <w:bCs/>
                <w:sz w:val="16"/>
                <w:szCs w:val="16"/>
              </w:rPr>
            </w:pPr>
          </w:p>
        </w:tc>
        <w:tc>
          <w:tcPr>
            <w:tcW w:w="697" w:type="pct"/>
            <w:vMerge/>
            <w:vAlign w:val="center"/>
          </w:tcPr>
          <w:p w:rsidR="001D3A80" w:rsidRPr="001E57EA" w:rsidRDefault="001D3A80" w:rsidP="001D3A80">
            <w:pPr>
              <w:spacing w:before="40" w:after="40"/>
              <w:rPr>
                <w:rFonts w:ascii="Arial" w:hAnsi="Arial"/>
                <w:sz w:val="16"/>
                <w:szCs w:val="16"/>
              </w:rPr>
            </w:pPr>
          </w:p>
        </w:tc>
        <w:tc>
          <w:tcPr>
            <w:tcW w:w="1760" w:type="pct"/>
            <w:tcMar>
              <w:top w:w="0" w:type="dxa"/>
              <w:left w:w="108" w:type="dxa"/>
              <w:bottom w:w="0" w:type="dxa"/>
              <w:right w:w="108" w:type="dxa"/>
            </w:tcMar>
          </w:tcPr>
          <w:p w:rsidR="001D3A80" w:rsidRPr="001E57EA" w:rsidRDefault="001D3A80" w:rsidP="001D3A80">
            <w:pPr>
              <w:spacing w:before="40" w:after="40"/>
              <w:rPr>
                <w:rFonts w:ascii="Arial" w:hAnsi="Arial"/>
                <w:sz w:val="16"/>
                <w:szCs w:val="16"/>
                <w:lang w:val="bs-Latn-BA"/>
              </w:rPr>
            </w:pPr>
            <w:r w:rsidRPr="001E57EA">
              <w:rPr>
                <w:rFonts w:ascii="Arial" w:hAnsi="Arial"/>
                <w:sz w:val="16"/>
                <w:szCs w:val="16"/>
              </w:rPr>
              <w:t>% osoba koje su smještene u sigurne kuće u odnosu na broj prijava</w:t>
            </w:r>
          </w:p>
        </w:tc>
        <w:tc>
          <w:tcPr>
            <w:tcW w:w="944" w:type="pct"/>
            <w:tcMar>
              <w:top w:w="0" w:type="dxa"/>
              <w:left w:w="108" w:type="dxa"/>
              <w:bottom w:w="0" w:type="dxa"/>
              <w:right w:w="108" w:type="dxa"/>
            </w:tcMar>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10% (2019)</w:t>
            </w:r>
          </w:p>
        </w:tc>
        <w:tc>
          <w:tcPr>
            <w:tcW w:w="835" w:type="pct"/>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5% (2027)</w:t>
            </w:r>
          </w:p>
        </w:tc>
      </w:tr>
      <w:tr w:rsidR="001E57EA" w:rsidRPr="001E57EA" w:rsidTr="00805D8D">
        <w:trPr>
          <w:trHeight w:val="335"/>
          <w:jc w:val="center"/>
        </w:trPr>
        <w:tc>
          <w:tcPr>
            <w:tcW w:w="764" w:type="pct"/>
            <w:vMerge/>
            <w:vAlign w:val="center"/>
          </w:tcPr>
          <w:p w:rsidR="001D3A80" w:rsidRPr="001E57EA" w:rsidRDefault="001D3A80" w:rsidP="001D3A80">
            <w:pPr>
              <w:spacing w:before="40" w:after="40"/>
              <w:rPr>
                <w:rFonts w:ascii="Arial" w:hAnsi="Arial"/>
                <w:b/>
                <w:bCs/>
                <w:sz w:val="16"/>
                <w:szCs w:val="16"/>
              </w:rPr>
            </w:pPr>
          </w:p>
        </w:tc>
        <w:tc>
          <w:tcPr>
            <w:tcW w:w="697" w:type="pct"/>
            <w:vMerge/>
            <w:vAlign w:val="center"/>
          </w:tcPr>
          <w:p w:rsidR="001D3A80" w:rsidRPr="001E57EA" w:rsidRDefault="001D3A80" w:rsidP="001D3A80">
            <w:pPr>
              <w:spacing w:before="40" w:after="40"/>
              <w:rPr>
                <w:rFonts w:ascii="Arial" w:hAnsi="Arial"/>
                <w:sz w:val="16"/>
                <w:szCs w:val="16"/>
              </w:rPr>
            </w:pPr>
          </w:p>
        </w:tc>
        <w:tc>
          <w:tcPr>
            <w:tcW w:w="1760" w:type="pct"/>
            <w:tcMar>
              <w:top w:w="0" w:type="dxa"/>
              <w:left w:w="108" w:type="dxa"/>
              <w:bottom w:w="0" w:type="dxa"/>
              <w:right w:w="108" w:type="dxa"/>
            </w:tcMar>
          </w:tcPr>
          <w:p w:rsidR="001D3A80" w:rsidRPr="001E57EA" w:rsidRDefault="001D3A80" w:rsidP="001D3A80">
            <w:pPr>
              <w:spacing w:before="40" w:after="40"/>
              <w:rPr>
                <w:rFonts w:ascii="Arial" w:hAnsi="Arial"/>
                <w:sz w:val="16"/>
                <w:szCs w:val="16"/>
                <w:lang w:val="bs-Latn-BA"/>
              </w:rPr>
            </w:pPr>
            <w:r w:rsidRPr="001E57EA">
              <w:rPr>
                <w:rFonts w:ascii="Arial" w:hAnsi="Arial"/>
                <w:sz w:val="16"/>
                <w:szCs w:val="16"/>
              </w:rPr>
              <w:t xml:space="preserve">% službenika koji smatraju da posao </w:t>
            </w:r>
            <w:r w:rsidR="007B4EB1" w:rsidRPr="001E57EA">
              <w:rPr>
                <w:rFonts w:ascii="Arial" w:hAnsi="Arial"/>
                <w:sz w:val="16"/>
                <w:szCs w:val="16"/>
              </w:rPr>
              <w:t xml:space="preserve">utječe </w:t>
            </w:r>
            <w:r w:rsidRPr="001E57EA">
              <w:rPr>
                <w:rFonts w:ascii="Arial" w:hAnsi="Arial"/>
                <w:sz w:val="16"/>
                <w:szCs w:val="16"/>
              </w:rPr>
              <w:t>negativno na njihovo zdravlje</w:t>
            </w:r>
          </w:p>
        </w:tc>
        <w:tc>
          <w:tcPr>
            <w:tcW w:w="944" w:type="pct"/>
            <w:tcMar>
              <w:top w:w="0" w:type="dxa"/>
              <w:left w:w="108" w:type="dxa"/>
              <w:bottom w:w="0" w:type="dxa"/>
              <w:right w:w="108" w:type="dxa"/>
            </w:tcMar>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31,2% (2021)</w:t>
            </w:r>
          </w:p>
        </w:tc>
        <w:tc>
          <w:tcPr>
            <w:tcW w:w="835" w:type="pct"/>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10% (2027)</w:t>
            </w:r>
          </w:p>
        </w:tc>
      </w:tr>
      <w:tr w:rsidR="001E57EA" w:rsidRPr="001E57EA" w:rsidTr="00805D8D">
        <w:trPr>
          <w:trHeight w:val="485"/>
          <w:jc w:val="center"/>
        </w:trPr>
        <w:tc>
          <w:tcPr>
            <w:tcW w:w="764" w:type="pct"/>
            <w:vMerge/>
            <w:vAlign w:val="center"/>
            <w:hideMark/>
          </w:tcPr>
          <w:p w:rsidR="00D8543E" w:rsidRPr="001E57EA" w:rsidRDefault="00D8543E" w:rsidP="00F7078C">
            <w:pPr>
              <w:spacing w:before="40" w:after="40"/>
              <w:rPr>
                <w:rFonts w:ascii="Arial" w:hAnsi="Arial"/>
                <w:b/>
                <w:bCs/>
                <w:sz w:val="16"/>
                <w:szCs w:val="16"/>
              </w:rPr>
            </w:pPr>
          </w:p>
        </w:tc>
        <w:tc>
          <w:tcPr>
            <w:tcW w:w="697" w:type="pct"/>
            <w:vMerge/>
            <w:vAlign w:val="center"/>
            <w:hideMark/>
          </w:tcPr>
          <w:p w:rsidR="00D8543E" w:rsidRPr="001E57EA" w:rsidRDefault="00D8543E"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326856" w:rsidRPr="001E57EA" w:rsidRDefault="00326856" w:rsidP="00326856">
            <w:pPr>
              <w:spacing w:before="40" w:after="40"/>
              <w:rPr>
                <w:rFonts w:ascii="Arial" w:hAnsi="Arial"/>
                <w:b/>
                <w:bCs/>
                <w:sz w:val="16"/>
                <w:szCs w:val="16"/>
              </w:rPr>
            </w:pPr>
          </w:p>
        </w:tc>
        <w:tc>
          <w:tcPr>
            <w:tcW w:w="697" w:type="pct"/>
            <w:vMerge/>
            <w:vAlign w:val="center"/>
            <w:hideMark/>
          </w:tcPr>
          <w:p w:rsidR="00326856" w:rsidRPr="001E57EA" w:rsidRDefault="00326856" w:rsidP="00326856">
            <w:pPr>
              <w:spacing w:before="40" w:after="40"/>
              <w:rPr>
                <w:rFonts w:ascii="Arial" w:hAnsi="Arial"/>
                <w:sz w:val="16"/>
                <w:szCs w:val="16"/>
              </w:rPr>
            </w:pPr>
          </w:p>
        </w:tc>
        <w:tc>
          <w:tcPr>
            <w:tcW w:w="1760" w:type="pct"/>
            <w:tcMar>
              <w:top w:w="0" w:type="dxa"/>
              <w:left w:w="108" w:type="dxa"/>
              <w:bottom w:w="0" w:type="dxa"/>
              <w:right w:w="108" w:type="dxa"/>
            </w:tcMar>
            <w:vAlign w:val="center"/>
          </w:tcPr>
          <w:p w:rsidR="00326856" w:rsidRPr="001E57EA" w:rsidRDefault="00F5454D" w:rsidP="00326856">
            <w:pPr>
              <w:spacing w:before="40" w:after="40"/>
              <w:rPr>
                <w:rFonts w:ascii="Arial" w:hAnsi="Arial"/>
                <w:sz w:val="16"/>
                <w:szCs w:val="16"/>
              </w:rPr>
            </w:pPr>
            <w:r w:rsidRPr="001E57EA">
              <w:rPr>
                <w:rFonts w:ascii="Arial" w:eastAsia="Times New Roman" w:hAnsi="Arial"/>
                <w:sz w:val="16"/>
                <w:szCs w:val="16"/>
                <w:lang w:val="sr-Latn-BA" w:eastAsia="en-GB"/>
              </w:rPr>
              <w:t>90.000</w:t>
            </w:r>
          </w:p>
        </w:tc>
        <w:tc>
          <w:tcPr>
            <w:tcW w:w="944"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rPr>
            </w:pPr>
            <w:r w:rsidRPr="001E57EA">
              <w:rPr>
                <w:rFonts w:ascii="Arial" w:eastAsia="Times New Roman" w:hAnsi="Arial"/>
                <w:sz w:val="16"/>
                <w:szCs w:val="16"/>
                <w:lang w:val="sr-Latn-BA" w:eastAsia="en-GB"/>
              </w:rPr>
              <w:t>140.000</w:t>
            </w:r>
          </w:p>
        </w:tc>
        <w:tc>
          <w:tcPr>
            <w:tcW w:w="835" w:type="pct"/>
            <w:tcMar>
              <w:top w:w="0" w:type="dxa"/>
              <w:left w:w="108" w:type="dxa"/>
              <w:bottom w:w="0" w:type="dxa"/>
              <w:right w:w="108" w:type="dxa"/>
            </w:tcMar>
            <w:vAlign w:val="center"/>
          </w:tcPr>
          <w:p w:rsidR="00326856" w:rsidRPr="001E57EA" w:rsidRDefault="00F5454D" w:rsidP="00326856">
            <w:pPr>
              <w:spacing w:before="40" w:after="40"/>
              <w:jc w:val="center"/>
              <w:rPr>
                <w:rFonts w:ascii="Arial" w:hAnsi="Arial"/>
                <w:sz w:val="16"/>
                <w:szCs w:val="16"/>
              </w:rPr>
            </w:pPr>
            <w:r w:rsidRPr="001E57EA">
              <w:rPr>
                <w:rFonts w:ascii="Arial" w:eastAsia="Times New Roman" w:hAnsi="Arial"/>
                <w:sz w:val="16"/>
                <w:szCs w:val="16"/>
                <w:lang w:val="sr-Latn-BA" w:eastAsia="en-GB"/>
              </w:rPr>
              <w:t>230.000</w:t>
            </w:r>
          </w:p>
        </w:tc>
      </w:tr>
      <w:tr w:rsidR="001E57EA" w:rsidRPr="001E57EA" w:rsidTr="00805D8D">
        <w:trPr>
          <w:trHeight w:val="485"/>
          <w:jc w:val="center"/>
        </w:trPr>
        <w:tc>
          <w:tcPr>
            <w:tcW w:w="764" w:type="pct"/>
            <w:vMerge w:val="restart"/>
            <w:shd w:val="clear" w:color="auto" w:fill="FBE4D5"/>
            <w:tcMar>
              <w:top w:w="0" w:type="dxa"/>
              <w:left w:w="108" w:type="dxa"/>
              <w:bottom w:w="0" w:type="dxa"/>
              <w:right w:w="108" w:type="dxa"/>
            </w:tcMar>
            <w:vAlign w:val="center"/>
            <w:hideMark/>
          </w:tcPr>
          <w:p w:rsidR="00D8543E" w:rsidRPr="001E57EA" w:rsidRDefault="00D8543E" w:rsidP="00D8543E">
            <w:pPr>
              <w:spacing w:before="40" w:after="40"/>
              <w:rPr>
                <w:rFonts w:ascii="Arial" w:hAnsi="Arial"/>
                <w:b/>
                <w:bCs/>
                <w:sz w:val="16"/>
                <w:szCs w:val="16"/>
                <w:lang w:val="bs-Latn-BA"/>
              </w:rPr>
            </w:pPr>
            <w:r w:rsidRPr="001E57EA">
              <w:rPr>
                <w:rFonts w:ascii="Arial" w:hAnsi="Arial"/>
                <w:b/>
                <w:bCs/>
                <w:sz w:val="16"/>
                <w:szCs w:val="16"/>
                <w:lang w:val="bs-Latn-BA"/>
              </w:rPr>
              <w:t>1.2.2. Mjera</w:t>
            </w:r>
          </w:p>
        </w:tc>
        <w:tc>
          <w:tcPr>
            <w:tcW w:w="697" w:type="pct"/>
            <w:vMerge w:val="restart"/>
            <w:tcMar>
              <w:top w:w="0" w:type="dxa"/>
              <w:left w:w="108" w:type="dxa"/>
              <w:bottom w:w="0" w:type="dxa"/>
              <w:right w:w="108" w:type="dxa"/>
            </w:tcMar>
            <w:vAlign w:val="center"/>
          </w:tcPr>
          <w:p w:rsidR="00D8543E" w:rsidRPr="001E57EA" w:rsidRDefault="005F6D09" w:rsidP="00F7078C">
            <w:pPr>
              <w:spacing w:before="40" w:after="40"/>
              <w:rPr>
                <w:rFonts w:ascii="Arial" w:hAnsi="Arial"/>
                <w:sz w:val="16"/>
                <w:szCs w:val="16"/>
                <w:lang w:val="bs-Latn-BA"/>
              </w:rPr>
            </w:pPr>
            <w:r w:rsidRPr="001E57EA">
              <w:rPr>
                <w:rFonts w:ascii="Arial" w:hAnsi="Arial"/>
                <w:sz w:val="16"/>
                <w:szCs w:val="16"/>
                <w:lang w:val="bs-Latn-BA"/>
              </w:rPr>
              <w:t xml:space="preserve">Unapređenje </w:t>
            </w:r>
            <w:r w:rsidR="00D8543E" w:rsidRPr="001E57EA">
              <w:rPr>
                <w:rFonts w:ascii="Arial" w:hAnsi="Arial"/>
                <w:sz w:val="16"/>
                <w:szCs w:val="16"/>
                <w:lang w:val="bs-Latn-BA"/>
              </w:rPr>
              <w:t>podršk</w:t>
            </w:r>
            <w:r w:rsidRPr="001E57EA">
              <w:rPr>
                <w:rFonts w:ascii="Arial" w:hAnsi="Arial"/>
                <w:sz w:val="16"/>
                <w:szCs w:val="16"/>
                <w:lang w:val="bs-Latn-BA"/>
              </w:rPr>
              <w:t>e</w:t>
            </w:r>
            <w:r w:rsidR="00D8543E" w:rsidRPr="001E57EA">
              <w:rPr>
                <w:rFonts w:ascii="Arial" w:hAnsi="Arial"/>
                <w:sz w:val="16"/>
                <w:szCs w:val="16"/>
                <w:lang w:val="bs-Latn-BA"/>
              </w:rPr>
              <w:t xml:space="preserve"> žrtvama nasilja</w:t>
            </w: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485"/>
          <w:jc w:val="center"/>
        </w:trPr>
        <w:tc>
          <w:tcPr>
            <w:tcW w:w="764" w:type="pct"/>
            <w:vMerge/>
            <w:vAlign w:val="center"/>
            <w:hideMark/>
          </w:tcPr>
          <w:p w:rsidR="001D3A80" w:rsidRPr="001E57EA" w:rsidRDefault="001D3A80" w:rsidP="001D3A80">
            <w:pPr>
              <w:spacing w:before="40" w:after="40"/>
              <w:rPr>
                <w:rFonts w:ascii="Arial" w:hAnsi="Arial"/>
                <w:b/>
                <w:bCs/>
                <w:sz w:val="16"/>
                <w:szCs w:val="16"/>
              </w:rPr>
            </w:pPr>
          </w:p>
        </w:tc>
        <w:tc>
          <w:tcPr>
            <w:tcW w:w="697" w:type="pct"/>
            <w:vMerge/>
            <w:vAlign w:val="center"/>
            <w:hideMark/>
          </w:tcPr>
          <w:p w:rsidR="001D3A80" w:rsidRPr="001E57EA" w:rsidRDefault="001D3A80" w:rsidP="001D3A80">
            <w:pPr>
              <w:spacing w:before="40" w:after="40"/>
              <w:rPr>
                <w:rFonts w:ascii="Arial" w:hAnsi="Arial"/>
                <w:sz w:val="16"/>
                <w:szCs w:val="16"/>
              </w:rPr>
            </w:pPr>
          </w:p>
        </w:tc>
        <w:tc>
          <w:tcPr>
            <w:tcW w:w="1760" w:type="pct"/>
            <w:tcMar>
              <w:top w:w="0" w:type="dxa"/>
              <w:left w:w="108" w:type="dxa"/>
              <w:bottom w:w="0" w:type="dxa"/>
              <w:right w:w="108" w:type="dxa"/>
            </w:tcMar>
            <w:vAlign w:val="center"/>
          </w:tcPr>
          <w:p w:rsidR="001D3A80" w:rsidRPr="001E57EA" w:rsidRDefault="001D3A80" w:rsidP="001D3A80">
            <w:pPr>
              <w:spacing w:before="40" w:after="40"/>
              <w:rPr>
                <w:rFonts w:ascii="Arial" w:hAnsi="Arial"/>
                <w:sz w:val="16"/>
                <w:szCs w:val="16"/>
                <w:lang w:val="bs-Latn-BA"/>
              </w:rPr>
            </w:pPr>
            <w:r w:rsidRPr="001E57EA">
              <w:rPr>
                <w:rFonts w:ascii="Arial" w:hAnsi="Arial"/>
                <w:sz w:val="16"/>
                <w:szCs w:val="16"/>
                <w:lang w:val="de-DE"/>
              </w:rPr>
              <w:t>Broj poziva na SOS telefon 1265</w:t>
            </w:r>
          </w:p>
        </w:tc>
        <w:tc>
          <w:tcPr>
            <w:tcW w:w="944" w:type="pct"/>
            <w:tcMar>
              <w:top w:w="0" w:type="dxa"/>
              <w:left w:w="108" w:type="dxa"/>
              <w:bottom w:w="0" w:type="dxa"/>
              <w:right w:w="108" w:type="dxa"/>
            </w:tcMar>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501</w:t>
            </w:r>
          </w:p>
        </w:tc>
        <w:tc>
          <w:tcPr>
            <w:tcW w:w="835" w:type="pct"/>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1.500</w:t>
            </w:r>
          </w:p>
        </w:tc>
      </w:tr>
      <w:tr w:rsidR="001E57EA" w:rsidRPr="001E57EA" w:rsidTr="00805D8D">
        <w:trPr>
          <w:trHeight w:val="485"/>
          <w:jc w:val="center"/>
        </w:trPr>
        <w:tc>
          <w:tcPr>
            <w:tcW w:w="764" w:type="pct"/>
            <w:vMerge/>
            <w:vAlign w:val="center"/>
          </w:tcPr>
          <w:p w:rsidR="001D3A80" w:rsidRPr="001E57EA" w:rsidRDefault="001D3A80" w:rsidP="001D3A80">
            <w:pPr>
              <w:spacing w:before="40" w:after="40"/>
              <w:rPr>
                <w:rFonts w:ascii="Arial" w:hAnsi="Arial"/>
                <w:b/>
                <w:bCs/>
                <w:sz w:val="16"/>
                <w:szCs w:val="16"/>
              </w:rPr>
            </w:pPr>
          </w:p>
        </w:tc>
        <w:tc>
          <w:tcPr>
            <w:tcW w:w="697" w:type="pct"/>
            <w:vMerge/>
            <w:vAlign w:val="center"/>
          </w:tcPr>
          <w:p w:rsidR="001D3A80" w:rsidRPr="001E57EA" w:rsidRDefault="001D3A80" w:rsidP="001D3A80">
            <w:pPr>
              <w:spacing w:before="40" w:after="40"/>
              <w:rPr>
                <w:rFonts w:ascii="Arial" w:hAnsi="Arial"/>
                <w:sz w:val="16"/>
                <w:szCs w:val="16"/>
              </w:rPr>
            </w:pPr>
          </w:p>
        </w:tc>
        <w:tc>
          <w:tcPr>
            <w:tcW w:w="1760" w:type="pct"/>
            <w:tcMar>
              <w:top w:w="0" w:type="dxa"/>
              <w:left w:w="108" w:type="dxa"/>
              <w:bottom w:w="0" w:type="dxa"/>
              <w:right w:w="108" w:type="dxa"/>
            </w:tcMar>
          </w:tcPr>
          <w:p w:rsidR="001D3A80" w:rsidRPr="001E57EA" w:rsidRDefault="001D3A80" w:rsidP="001D3A80">
            <w:pPr>
              <w:spacing w:before="40" w:after="40"/>
              <w:rPr>
                <w:rFonts w:ascii="Arial" w:hAnsi="Arial"/>
                <w:sz w:val="16"/>
                <w:szCs w:val="16"/>
                <w:lang w:val="bs-Latn-BA"/>
              </w:rPr>
            </w:pPr>
            <w:r w:rsidRPr="001E57EA">
              <w:rPr>
                <w:rFonts w:ascii="Arial" w:hAnsi="Arial"/>
                <w:sz w:val="16"/>
                <w:szCs w:val="16"/>
              </w:rPr>
              <w:t xml:space="preserve">% usluga besplatne pravne pomoći </w:t>
            </w:r>
            <w:r w:rsidR="0009144E" w:rsidRPr="001E57EA">
              <w:rPr>
                <w:rFonts w:ascii="Arial" w:hAnsi="Arial"/>
                <w:sz w:val="16"/>
                <w:szCs w:val="16"/>
              </w:rPr>
              <w:t xml:space="preserve">u vezi sa </w:t>
            </w:r>
            <w:r w:rsidRPr="001E57EA">
              <w:rPr>
                <w:rFonts w:ascii="Arial" w:hAnsi="Arial"/>
                <w:sz w:val="16"/>
                <w:szCs w:val="16"/>
              </w:rPr>
              <w:t>nasilje</w:t>
            </w:r>
            <w:r w:rsidR="0009144E" w:rsidRPr="001E57EA">
              <w:rPr>
                <w:rFonts w:ascii="Arial" w:hAnsi="Arial"/>
                <w:sz w:val="16"/>
                <w:szCs w:val="16"/>
              </w:rPr>
              <w:t>m</w:t>
            </w:r>
            <w:r w:rsidRPr="001E57EA">
              <w:rPr>
                <w:rFonts w:ascii="Arial" w:hAnsi="Arial"/>
                <w:sz w:val="16"/>
                <w:szCs w:val="16"/>
              </w:rPr>
              <w:t xml:space="preserve"> u porodici</w:t>
            </w:r>
          </w:p>
        </w:tc>
        <w:tc>
          <w:tcPr>
            <w:tcW w:w="944" w:type="pct"/>
            <w:tcMar>
              <w:top w:w="0" w:type="dxa"/>
              <w:left w:w="108" w:type="dxa"/>
              <w:bottom w:w="0" w:type="dxa"/>
              <w:right w:w="108" w:type="dxa"/>
            </w:tcMar>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Nema podataka o početnom stanju</w:t>
            </w:r>
          </w:p>
        </w:tc>
        <w:tc>
          <w:tcPr>
            <w:tcW w:w="835" w:type="pct"/>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5% (2027)</w:t>
            </w:r>
          </w:p>
        </w:tc>
      </w:tr>
      <w:tr w:rsidR="001E57EA" w:rsidRPr="001E57EA" w:rsidTr="00805D8D">
        <w:trPr>
          <w:trHeight w:val="440"/>
          <w:jc w:val="center"/>
        </w:trPr>
        <w:tc>
          <w:tcPr>
            <w:tcW w:w="764" w:type="pct"/>
            <w:vMerge/>
            <w:vAlign w:val="center"/>
          </w:tcPr>
          <w:p w:rsidR="001D3A80" w:rsidRPr="001E57EA" w:rsidRDefault="001D3A80" w:rsidP="001D3A80">
            <w:pPr>
              <w:spacing w:before="40" w:after="40"/>
              <w:rPr>
                <w:rFonts w:ascii="Arial" w:hAnsi="Arial"/>
                <w:b/>
                <w:bCs/>
                <w:sz w:val="16"/>
                <w:szCs w:val="16"/>
              </w:rPr>
            </w:pPr>
          </w:p>
        </w:tc>
        <w:tc>
          <w:tcPr>
            <w:tcW w:w="697" w:type="pct"/>
            <w:vMerge/>
            <w:vAlign w:val="center"/>
          </w:tcPr>
          <w:p w:rsidR="001D3A80" w:rsidRPr="001E57EA" w:rsidRDefault="001D3A80" w:rsidP="001D3A80">
            <w:pPr>
              <w:spacing w:before="40" w:after="40"/>
              <w:rPr>
                <w:rFonts w:ascii="Arial" w:hAnsi="Arial"/>
                <w:sz w:val="16"/>
                <w:szCs w:val="16"/>
              </w:rPr>
            </w:pPr>
          </w:p>
        </w:tc>
        <w:tc>
          <w:tcPr>
            <w:tcW w:w="1760" w:type="pct"/>
            <w:tcMar>
              <w:top w:w="0" w:type="dxa"/>
              <w:left w:w="108" w:type="dxa"/>
              <w:bottom w:w="0" w:type="dxa"/>
              <w:right w:w="108" w:type="dxa"/>
            </w:tcMar>
          </w:tcPr>
          <w:p w:rsidR="001D3A80" w:rsidRPr="001E57EA" w:rsidRDefault="001D3A80" w:rsidP="001D3A80">
            <w:pPr>
              <w:spacing w:before="40" w:after="40"/>
              <w:rPr>
                <w:rFonts w:ascii="Arial" w:hAnsi="Arial"/>
                <w:sz w:val="16"/>
                <w:szCs w:val="16"/>
                <w:lang w:val="bs-Latn-BA"/>
              </w:rPr>
            </w:pPr>
            <w:r w:rsidRPr="001E57EA">
              <w:rPr>
                <w:rFonts w:ascii="Arial" w:hAnsi="Arial"/>
                <w:sz w:val="16"/>
                <w:szCs w:val="16"/>
              </w:rPr>
              <w:t>% žrtava nasilja korisnica programa ekonomskog osnaživanja</w:t>
            </w:r>
          </w:p>
        </w:tc>
        <w:tc>
          <w:tcPr>
            <w:tcW w:w="944" w:type="pct"/>
            <w:tcMar>
              <w:top w:w="0" w:type="dxa"/>
              <w:left w:w="108" w:type="dxa"/>
              <w:bottom w:w="0" w:type="dxa"/>
              <w:right w:w="108" w:type="dxa"/>
            </w:tcMar>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Nema podataka o početnom stanju</w:t>
            </w:r>
          </w:p>
        </w:tc>
        <w:tc>
          <w:tcPr>
            <w:tcW w:w="835" w:type="pct"/>
            <w:vAlign w:val="center"/>
          </w:tcPr>
          <w:p w:rsidR="001D3A80" w:rsidRPr="001E57EA" w:rsidRDefault="001D3A80" w:rsidP="001D3A80">
            <w:pPr>
              <w:spacing w:before="40" w:after="40"/>
              <w:jc w:val="center"/>
              <w:rPr>
                <w:rFonts w:ascii="Arial" w:hAnsi="Arial"/>
                <w:sz w:val="16"/>
                <w:szCs w:val="16"/>
                <w:lang w:val="bs-Latn-BA"/>
              </w:rPr>
            </w:pPr>
            <w:r w:rsidRPr="001E57EA">
              <w:rPr>
                <w:rFonts w:ascii="Arial" w:hAnsi="Arial"/>
                <w:sz w:val="16"/>
              </w:rPr>
              <w:t>2% (2027)</w:t>
            </w:r>
          </w:p>
        </w:tc>
      </w:tr>
      <w:tr w:rsidR="001E57EA" w:rsidRPr="001E57EA" w:rsidTr="00805D8D">
        <w:trPr>
          <w:trHeight w:val="485"/>
          <w:jc w:val="center"/>
        </w:trPr>
        <w:tc>
          <w:tcPr>
            <w:tcW w:w="764" w:type="pct"/>
            <w:vMerge/>
            <w:vAlign w:val="center"/>
            <w:hideMark/>
          </w:tcPr>
          <w:p w:rsidR="00D8543E" w:rsidRPr="001E57EA" w:rsidRDefault="00D8543E" w:rsidP="00F7078C">
            <w:pPr>
              <w:spacing w:before="40" w:after="40"/>
              <w:rPr>
                <w:rFonts w:ascii="Arial" w:hAnsi="Arial"/>
                <w:b/>
                <w:bCs/>
                <w:sz w:val="16"/>
                <w:szCs w:val="16"/>
              </w:rPr>
            </w:pPr>
          </w:p>
        </w:tc>
        <w:tc>
          <w:tcPr>
            <w:tcW w:w="697" w:type="pct"/>
            <w:vMerge/>
            <w:vAlign w:val="center"/>
            <w:hideMark/>
          </w:tcPr>
          <w:p w:rsidR="00D8543E" w:rsidRPr="001E57EA" w:rsidRDefault="00D8543E"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D030C0" w:rsidRPr="001E57EA" w:rsidRDefault="00D030C0" w:rsidP="00D030C0">
            <w:pPr>
              <w:spacing w:before="40" w:after="40"/>
              <w:rPr>
                <w:rFonts w:ascii="Arial" w:hAnsi="Arial"/>
                <w:b/>
                <w:bCs/>
                <w:sz w:val="16"/>
                <w:szCs w:val="16"/>
              </w:rPr>
            </w:pPr>
          </w:p>
        </w:tc>
        <w:tc>
          <w:tcPr>
            <w:tcW w:w="697" w:type="pct"/>
            <w:vMerge/>
            <w:vAlign w:val="center"/>
            <w:hideMark/>
          </w:tcPr>
          <w:p w:rsidR="00D030C0" w:rsidRPr="001E57EA" w:rsidRDefault="00D030C0" w:rsidP="00D030C0">
            <w:pPr>
              <w:spacing w:before="40" w:after="40"/>
              <w:rPr>
                <w:rFonts w:ascii="Arial" w:hAnsi="Arial"/>
                <w:sz w:val="16"/>
                <w:szCs w:val="16"/>
              </w:rPr>
            </w:pPr>
          </w:p>
        </w:tc>
        <w:tc>
          <w:tcPr>
            <w:tcW w:w="1760" w:type="pct"/>
            <w:tcMar>
              <w:top w:w="0" w:type="dxa"/>
              <w:left w:w="108" w:type="dxa"/>
              <w:bottom w:w="0" w:type="dxa"/>
              <w:right w:w="108" w:type="dxa"/>
            </w:tcMar>
            <w:vAlign w:val="center"/>
          </w:tcPr>
          <w:p w:rsidR="00D030C0" w:rsidRPr="001E57EA" w:rsidRDefault="00F5454D" w:rsidP="00D030C0">
            <w:pPr>
              <w:spacing w:before="40" w:after="40"/>
              <w:rPr>
                <w:rFonts w:ascii="Arial" w:hAnsi="Arial"/>
                <w:sz w:val="16"/>
                <w:szCs w:val="16"/>
              </w:rPr>
            </w:pPr>
            <w:r w:rsidRPr="001E57EA">
              <w:rPr>
                <w:rFonts w:ascii="Arial" w:eastAsia="Times New Roman" w:hAnsi="Arial"/>
                <w:sz w:val="16"/>
                <w:szCs w:val="16"/>
                <w:lang w:val="sr-Latn-BA" w:eastAsia="en-GB"/>
              </w:rPr>
              <w:t>260.000</w:t>
            </w:r>
          </w:p>
        </w:tc>
        <w:tc>
          <w:tcPr>
            <w:tcW w:w="944" w:type="pct"/>
            <w:tcMar>
              <w:top w:w="0" w:type="dxa"/>
              <w:left w:w="108" w:type="dxa"/>
              <w:bottom w:w="0" w:type="dxa"/>
              <w:right w:w="108" w:type="dxa"/>
            </w:tcMar>
            <w:vAlign w:val="center"/>
          </w:tcPr>
          <w:p w:rsidR="00D030C0" w:rsidRPr="001E57EA" w:rsidRDefault="00F5454D" w:rsidP="00D030C0">
            <w:pPr>
              <w:spacing w:before="40" w:after="40"/>
              <w:jc w:val="center"/>
              <w:rPr>
                <w:rFonts w:ascii="Arial" w:hAnsi="Arial"/>
                <w:sz w:val="16"/>
                <w:szCs w:val="16"/>
              </w:rPr>
            </w:pPr>
            <w:r w:rsidRPr="001E57EA">
              <w:rPr>
                <w:rFonts w:ascii="Arial" w:eastAsia="Times New Roman" w:hAnsi="Arial"/>
                <w:sz w:val="16"/>
                <w:szCs w:val="16"/>
                <w:lang w:val="sr-Latn-BA" w:eastAsia="en-GB"/>
              </w:rPr>
              <w:t>450.000</w:t>
            </w:r>
          </w:p>
        </w:tc>
        <w:tc>
          <w:tcPr>
            <w:tcW w:w="835" w:type="pct"/>
            <w:tcMar>
              <w:top w:w="0" w:type="dxa"/>
              <w:left w:w="108" w:type="dxa"/>
              <w:bottom w:w="0" w:type="dxa"/>
              <w:right w:w="108" w:type="dxa"/>
            </w:tcMar>
            <w:vAlign w:val="center"/>
          </w:tcPr>
          <w:p w:rsidR="00D030C0" w:rsidRPr="001E57EA" w:rsidRDefault="00F5454D" w:rsidP="00D030C0">
            <w:pPr>
              <w:spacing w:before="40" w:after="40"/>
              <w:jc w:val="center"/>
              <w:rPr>
                <w:rFonts w:ascii="Arial" w:hAnsi="Arial"/>
                <w:sz w:val="16"/>
                <w:szCs w:val="16"/>
              </w:rPr>
            </w:pPr>
            <w:r w:rsidRPr="001E57EA">
              <w:rPr>
                <w:rFonts w:ascii="Arial" w:eastAsia="Times New Roman" w:hAnsi="Arial"/>
                <w:sz w:val="16"/>
                <w:szCs w:val="16"/>
                <w:lang w:val="sr-Latn-BA" w:eastAsia="en-GB"/>
              </w:rPr>
              <w:t>710.000</w:t>
            </w:r>
          </w:p>
        </w:tc>
      </w:tr>
      <w:tr w:rsidR="001E57EA" w:rsidRPr="001E57EA" w:rsidTr="00805D8D">
        <w:trPr>
          <w:trHeight w:val="485"/>
          <w:jc w:val="center"/>
        </w:trPr>
        <w:tc>
          <w:tcPr>
            <w:tcW w:w="764" w:type="pct"/>
            <w:vMerge w:val="restart"/>
            <w:shd w:val="clear" w:color="auto" w:fill="FBE4D5"/>
            <w:tcMar>
              <w:top w:w="0" w:type="dxa"/>
              <w:left w:w="108" w:type="dxa"/>
              <w:bottom w:w="0" w:type="dxa"/>
              <w:right w:w="108" w:type="dxa"/>
            </w:tcMar>
            <w:vAlign w:val="center"/>
            <w:hideMark/>
          </w:tcPr>
          <w:p w:rsidR="00D8543E" w:rsidRPr="001E57EA" w:rsidRDefault="00D8543E" w:rsidP="00D8543E">
            <w:pPr>
              <w:spacing w:before="40" w:after="40"/>
              <w:rPr>
                <w:rFonts w:ascii="Arial" w:hAnsi="Arial"/>
                <w:b/>
                <w:bCs/>
                <w:sz w:val="16"/>
                <w:szCs w:val="16"/>
                <w:lang w:val="bs-Latn-BA"/>
              </w:rPr>
            </w:pPr>
            <w:r w:rsidRPr="001E57EA">
              <w:rPr>
                <w:rFonts w:ascii="Arial" w:hAnsi="Arial"/>
                <w:b/>
                <w:bCs/>
                <w:sz w:val="16"/>
                <w:szCs w:val="16"/>
                <w:lang w:val="bs-Latn-BA"/>
              </w:rPr>
              <w:t>1.2.3. Mjera</w:t>
            </w:r>
          </w:p>
        </w:tc>
        <w:tc>
          <w:tcPr>
            <w:tcW w:w="697" w:type="pct"/>
            <w:vMerge w:val="restart"/>
            <w:tcMar>
              <w:top w:w="0" w:type="dxa"/>
              <w:left w:w="108" w:type="dxa"/>
              <w:bottom w:w="0" w:type="dxa"/>
              <w:right w:w="108" w:type="dxa"/>
            </w:tcMar>
            <w:vAlign w:val="center"/>
          </w:tcPr>
          <w:p w:rsidR="00D8543E" w:rsidRPr="001E57EA" w:rsidRDefault="00D8543E" w:rsidP="00F7078C">
            <w:pPr>
              <w:spacing w:before="40" w:after="40"/>
              <w:rPr>
                <w:rFonts w:ascii="Arial" w:hAnsi="Arial"/>
                <w:sz w:val="16"/>
                <w:szCs w:val="16"/>
                <w:lang w:val="bs-Latn-BA"/>
              </w:rPr>
            </w:pPr>
            <w:r w:rsidRPr="001E57EA">
              <w:rPr>
                <w:rFonts w:ascii="Arial" w:hAnsi="Arial"/>
                <w:sz w:val="16"/>
                <w:szCs w:val="16"/>
                <w:lang w:val="bs-Latn-BA"/>
              </w:rPr>
              <w:t>Unapređenje rada sa počiniocima nasilja u porodici</w:t>
            </w: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485"/>
          <w:jc w:val="center"/>
        </w:trPr>
        <w:tc>
          <w:tcPr>
            <w:tcW w:w="764" w:type="pct"/>
            <w:vMerge/>
            <w:vAlign w:val="center"/>
            <w:hideMark/>
          </w:tcPr>
          <w:p w:rsidR="005A27DB" w:rsidRPr="001E57EA" w:rsidRDefault="005A27DB" w:rsidP="005A27DB">
            <w:pPr>
              <w:spacing w:before="40" w:after="40"/>
              <w:rPr>
                <w:rFonts w:ascii="Arial" w:hAnsi="Arial"/>
                <w:b/>
                <w:bCs/>
                <w:sz w:val="16"/>
                <w:szCs w:val="16"/>
              </w:rPr>
            </w:pPr>
          </w:p>
        </w:tc>
        <w:tc>
          <w:tcPr>
            <w:tcW w:w="697" w:type="pct"/>
            <w:vMerge/>
            <w:vAlign w:val="center"/>
            <w:hideMark/>
          </w:tcPr>
          <w:p w:rsidR="005A27DB" w:rsidRPr="001E57EA" w:rsidRDefault="005A27DB" w:rsidP="005A27DB">
            <w:pPr>
              <w:spacing w:before="40" w:after="40"/>
              <w:rPr>
                <w:rFonts w:ascii="Arial" w:hAnsi="Arial"/>
                <w:sz w:val="16"/>
                <w:szCs w:val="16"/>
              </w:rPr>
            </w:pPr>
          </w:p>
        </w:tc>
        <w:tc>
          <w:tcPr>
            <w:tcW w:w="1760" w:type="pct"/>
            <w:tcMar>
              <w:top w:w="0" w:type="dxa"/>
              <w:left w:w="108" w:type="dxa"/>
              <w:bottom w:w="0" w:type="dxa"/>
              <w:right w:w="108" w:type="dxa"/>
            </w:tcMar>
            <w:vAlign w:val="center"/>
          </w:tcPr>
          <w:p w:rsidR="005A27DB" w:rsidRPr="001E57EA" w:rsidRDefault="005A27DB" w:rsidP="005A27DB">
            <w:pPr>
              <w:spacing w:before="40" w:after="40"/>
              <w:rPr>
                <w:rFonts w:ascii="Arial" w:hAnsi="Arial"/>
                <w:sz w:val="16"/>
                <w:szCs w:val="16"/>
                <w:lang w:val="bs-Latn-BA"/>
              </w:rPr>
            </w:pPr>
            <w:r w:rsidRPr="001E57EA">
              <w:rPr>
                <w:rFonts w:ascii="Arial" w:hAnsi="Arial"/>
                <w:sz w:val="16"/>
                <w:szCs w:val="16"/>
              </w:rPr>
              <w:t>% recidiva počinilaca nasilja u porodici</w:t>
            </w:r>
          </w:p>
        </w:tc>
        <w:tc>
          <w:tcPr>
            <w:tcW w:w="944" w:type="pct"/>
            <w:tcMar>
              <w:top w:w="0" w:type="dxa"/>
              <w:left w:w="108" w:type="dxa"/>
              <w:bottom w:w="0" w:type="dxa"/>
              <w:right w:w="108" w:type="dxa"/>
            </w:tcMar>
            <w:vAlign w:val="center"/>
          </w:tcPr>
          <w:p w:rsidR="005A27DB" w:rsidRPr="001E57EA" w:rsidRDefault="005A27DB" w:rsidP="005A27DB">
            <w:pPr>
              <w:spacing w:before="40" w:after="40"/>
              <w:jc w:val="center"/>
              <w:rPr>
                <w:rFonts w:ascii="Arial" w:hAnsi="Arial"/>
                <w:sz w:val="16"/>
                <w:szCs w:val="16"/>
                <w:lang w:val="bs-Latn-BA"/>
              </w:rPr>
            </w:pPr>
            <w:r w:rsidRPr="001E57EA">
              <w:rPr>
                <w:rFonts w:ascii="Arial" w:hAnsi="Arial"/>
                <w:sz w:val="16"/>
              </w:rPr>
              <w:t>2022. bit će kroz istraživanje</w:t>
            </w:r>
          </w:p>
        </w:tc>
        <w:tc>
          <w:tcPr>
            <w:tcW w:w="835" w:type="pct"/>
            <w:vAlign w:val="center"/>
          </w:tcPr>
          <w:p w:rsidR="005A27DB" w:rsidRPr="001E57EA" w:rsidRDefault="005A27DB" w:rsidP="005A27DB">
            <w:pPr>
              <w:spacing w:before="40" w:after="40"/>
              <w:jc w:val="center"/>
              <w:rPr>
                <w:rFonts w:ascii="Arial" w:hAnsi="Arial"/>
                <w:sz w:val="16"/>
                <w:szCs w:val="16"/>
                <w:lang w:val="bs-Latn-BA"/>
              </w:rPr>
            </w:pPr>
            <w:r w:rsidRPr="001E57EA">
              <w:rPr>
                <w:rFonts w:ascii="Arial" w:hAnsi="Arial"/>
                <w:sz w:val="16"/>
              </w:rPr>
              <w:t>10% (2027)</w:t>
            </w:r>
          </w:p>
        </w:tc>
      </w:tr>
      <w:tr w:rsidR="001E57EA" w:rsidRPr="001E57EA" w:rsidTr="00805D8D">
        <w:trPr>
          <w:trHeight w:val="485"/>
          <w:jc w:val="center"/>
        </w:trPr>
        <w:tc>
          <w:tcPr>
            <w:tcW w:w="764" w:type="pct"/>
            <w:vMerge/>
            <w:vAlign w:val="center"/>
          </w:tcPr>
          <w:p w:rsidR="005A27DB" w:rsidRPr="001E57EA" w:rsidRDefault="005A27DB" w:rsidP="005A27DB">
            <w:pPr>
              <w:spacing w:before="40" w:after="40"/>
              <w:rPr>
                <w:rFonts w:ascii="Arial" w:hAnsi="Arial"/>
                <w:b/>
                <w:bCs/>
                <w:sz w:val="16"/>
                <w:szCs w:val="16"/>
              </w:rPr>
            </w:pPr>
          </w:p>
        </w:tc>
        <w:tc>
          <w:tcPr>
            <w:tcW w:w="697" w:type="pct"/>
            <w:vMerge/>
            <w:vAlign w:val="center"/>
          </w:tcPr>
          <w:p w:rsidR="005A27DB" w:rsidRPr="001E57EA" w:rsidRDefault="005A27DB" w:rsidP="005A27DB">
            <w:pPr>
              <w:spacing w:before="40" w:after="40"/>
              <w:rPr>
                <w:rFonts w:ascii="Arial" w:hAnsi="Arial"/>
                <w:sz w:val="16"/>
                <w:szCs w:val="16"/>
              </w:rPr>
            </w:pPr>
          </w:p>
        </w:tc>
        <w:tc>
          <w:tcPr>
            <w:tcW w:w="1760" w:type="pct"/>
            <w:tcMar>
              <w:top w:w="0" w:type="dxa"/>
              <w:left w:w="108" w:type="dxa"/>
              <w:bottom w:w="0" w:type="dxa"/>
              <w:right w:w="108" w:type="dxa"/>
            </w:tcMar>
          </w:tcPr>
          <w:p w:rsidR="005A27DB" w:rsidRPr="001E57EA" w:rsidRDefault="005A27DB" w:rsidP="005A27DB">
            <w:pPr>
              <w:spacing w:before="40" w:after="40"/>
              <w:rPr>
                <w:rFonts w:ascii="Arial" w:hAnsi="Arial"/>
                <w:sz w:val="16"/>
                <w:szCs w:val="16"/>
                <w:lang w:val="bs-Latn-BA"/>
              </w:rPr>
            </w:pPr>
            <w:r w:rsidRPr="001E57EA">
              <w:rPr>
                <w:rFonts w:ascii="Arial" w:hAnsi="Arial"/>
                <w:sz w:val="16"/>
                <w:szCs w:val="16"/>
              </w:rPr>
              <w:t>% certificiranih provodioca psihosocijalnog tretmana</w:t>
            </w:r>
          </w:p>
        </w:tc>
        <w:tc>
          <w:tcPr>
            <w:tcW w:w="944" w:type="pct"/>
            <w:tcMar>
              <w:top w:w="0" w:type="dxa"/>
              <w:left w:w="108" w:type="dxa"/>
              <w:bottom w:w="0" w:type="dxa"/>
              <w:right w:w="108" w:type="dxa"/>
            </w:tcMar>
            <w:vAlign w:val="center"/>
          </w:tcPr>
          <w:p w:rsidR="005A27DB" w:rsidRPr="001E57EA" w:rsidRDefault="005A27DB" w:rsidP="005A27DB">
            <w:pPr>
              <w:spacing w:before="40" w:after="40"/>
              <w:jc w:val="center"/>
              <w:rPr>
                <w:rFonts w:ascii="Arial" w:hAnsi="Arial"/>
                <w:sz w:val="16"/>
                <w:szCs w:val="16"/>
                <w:lang w:val="bs-Latn-BA"/>
              </w:rPr>
            </w:pPr>
            <w:r w:rsidRPr="001E57EA">
              <w:rPr>
                <w:rFonts w:ascii="Arial" w:hAnsi="Arial"/>
                <w:sz w:val="16"/>
              </w:rPr>
              <w:t>64% (2021)</w:t>
            </w:r>
          </w:p>
        </w:tc>
        <w:tc>
          <w:tcPr>
            <w:tcW w:w="835" w:type="pct"/>
            <w:vAlign w:val="center"/>
          </w:tcPr>
          <w:p w:rsidR="005A27DB" w:rsidRPr="001E57EA" w:rsidRDefault="005A27DB" w:rsidP="005A27DB">
            <w:pPr>
              <w:spacing w:before="40" w:after="40"/>
              <w:jc w:val="center"/>
              <w:rPr>
                <w:rFonts w:ascii="Arial" w:hAnsi="Arial"/>
                <w:sz w:val="16"/>
                <w:szCs w:val="16"/>
                <w:lang w:val="bs-Latn-BA"/>
              </w:rPr>
            </w:pPr>
            <w:r w:rsidRPr="001E57EA">
              <w:rPr>
                <w:rFonts w:ascii="Arial" w:hAnsi="Arial"/>
                <w:sz w:val="16"/>
              </w:rPr>
              <w:t>100% (2027)</w:t>
            </w:r>
          </w:p>
        </w:tc>
      </w:tr>
      <w:tr w:rsidR="001E57EA" w:rsidRPr="001E57EA" w:rsidTr="00805D8D">
        <w:trPr>
          <w:trHeight w:val="582"/>
          <w:jc w:val="center"/>
        </w:trPr>
        <w:tc>
          <w:tcPr>
            <w:tcW w:w="764" w:type="pct"/>
            <w:vMerge/>
            <w:vAlign w:val="center"/>
          </w:tcPr>
          <w:p w:rsidR="005A27DB" w:rsidRPr="001E57EA" w:rsidRDefault="005A27DB" w:rsidP="005A27DB">
            <w:pPr>
              <w:spacing w:before="40" w:after="40"/>
              <w:rPr>
                <w:rFonts w:ascii="Arial" w:hAnsi="Arial"/>
                <w:b/>
                <w:bCs/>
                <w:sz w:val="16"/>
                <w:szCs w:val="16"/>
              </w:rPr>
            </w:pPr>
          </w:p>
        </w:tc>
        <w:tc>
          <w:tcPr>
            <w:tcW w:w="697" w:type="pct"/>
            <w:vMerge/>
            <w:vAlign w:val="center"/>
          </w:tcPr>
          <w:p w:rsidR="005A27DB" w:rsidRPr="001E57EA" w:rsidRDefault="005A27DB" w:rsidP="005A27DB">
            <w:pPr>
              <w:spacing w:before="40" w:after="40"/>
              <w:rPr>
                <w:rFonts w:ascii="Arial" w:hAnsi="Arial"/>
                <w:sz w:val="16"/>
                <w:szCs w:val="16"/>
              </w:rPr>
            </w:pPr>
          </w:p>
        </w:tc>
        <w:tc>
          <w:tcPr>
            <w:tcW w:w="1760" w:type="pct"/>
            <w:tcMar>
              <w:top w:w="0" w:type="dxa"/>
              <w:left w:w="108" w:type="dxa"/>
              <w:bottom w:w="0" w:type="dxa"/>
              <w:right w:w="108" w:type="dxa"/>
            </w:tcMar>
          </w:tcPr>
          <w:p w:rsidR="005A27DB" w:rsidRPr="001E57EA" w:rsidRDefault="005A27DB" w:rsidP="005A27DB">
            <w:pPr>
              <w:spacing w:before="40" w:after="40"/>
              <w:rPr>
                <w:rFonts w:ascii="Arial" w:hAnsi="Arial"/>
                <w:sz w:val="16"/>
                <w:szCs w:val="16"/>
                <w:lang w:val="bs-Latn-BA"/>
              </w:rPr>
            </w:pPr>
            <w:r w:rsidRPr="001E57EA">
              <w:rPr>
                <w:rFonts w:ascii="Arial" w:hAnsi="Arial"/>
                <w:sz w:val="16"/>
                <w:szCs w:val="16"/>
              </w:rPr>
              <w:t>% izrečenih zaštitnih mjera obavezan psihosocijalni tretmanom</w:t>
            </w:r>
          </w:p>
        </w:tc>
        <w:tc>
          <w:tcPr>
            <w:tcW w:w="944" w:type="pct"/>
            <w:tcMar>
              <w:top w:w="0" w:type="dxa"/>
              <w:left w:w="108" w:type="dxa"/>
              <w:bottom w:w="0" w:type="dxa"/>
              <w:right w:w="108" w:type="dxa"/>
            </w:tcMar>
            <w:vAlign w:val="center"/>
          </w:tcPr>
          <w:p w:rsidR="005A27DB" w:rsidRPr="001E57EA" w:rsidRDefault="005A27DB" w:rsidP="005A27DB">
            <w:pPr>
              <w:pStyle w:val="TekstStrategija"/>
              <w:jc w:val="center"/>
              <w:rPr>
                <w:sz w:val="16"/>
              </w:rPr>
            </w:pPr>
            <w:r w:rsidRPr="001E57EA">
              <w:rPr>
                <w:sz w:val="16"/>
              </w:rPr>
              <w:t>12% (2019)</w:t>
            </w:r>
          </w:p>
          <w:p w:rsidR="005A27DB" w:rsidRPr="001E57EA" w:rsidRDefault="005A27DB" w:rsidP="005A27DB">
            <w:pPr>
              <w:spacing w:before="40" w:after="40"/>
              <w:jc w:val="center"/>
              <w:rPr>
                <w:rFonts w:ascii="Arial" w:hAnsi="Arial"/>
                <w:sz w:val="16"/>
                <w:szCs w:val="16"/>
                <w:lang w:val="bs-Latn-BA"/>
              </w:rPr>
            </w:pPr>
            <w:r w:rsidRPr="001E57EA">
              <w:rPr>
                <w:rFonts w:ascii="Arial" w:hAnsi="Arial"/>
                <w:sz w:val="16"/>
              </w:rPr>
              <w:t>10,45 (2020)</w:t>
            </w:r>
          </w:p>
        </w:tc>
        <w:tc>
          <w:tcPr>
            <w:tcW w:w="835" w:type="pct"/>
            <w:vAlign w:val="center"/>
          </w:tcPr>
          <w:p w:rsidR="005A27DB" w:rsidRPr="001E57EA" w:rsidRDefault="005A27DB" w:rsidP="005A27DB">
            <w:pPr>
              <w:spacing w:before="40" w:after="40"/>
              <w:jc w:val="center"/>
              <w:rPr>
                <w:rFonts w:ascii="Arial" w:hAnsi="Arial"/>
                <w:sz w:val="16"/>
                <w:szCs w:val="16"/>
                <w:lang w:val="bs-Latn-BA"/>
              </w:rPr>
            </w:pPr>
            <w:r w:rsidRPr="001E57EA">
              <w:rPr>
                <w:rFonts w:ascii="Arial" w:hAnsi="Arial"/>
                <w:sz w:val="16"/>
              </w:rPr>
              <w:t>40% (2027)</w:t>
            </w:r>
          </w:p>
        </w:tc>
      </w:tr>
      <w:tr w:rsidR="001E57EA" w:rsidRPr="001E57EA" w:rsidTr="00805D8D">
        <w:trPr>
          <w:trHeight w:val="485"/>
          <w:jc w:val="center"/>
        </w:trPr>
        <w:tc>
          <w:tcPr>
            <w:tcW w:w="764" w:type="pct"/>
            <w:vMerge/>
            <w:vAlign w:val="center"/>
            <w:hideMark/>
          </w:tcPr>
          <w:p w:rsidR="00D8543E" w:rsidRPr="001E57EA" w:rsidRDefault="00D8543E" w:rsidP="00F7078C">
            <w:pPr>
              <w:spacing w:before="40" w:after="40"/>
              <w:rPr>
                <w:rFonts w:ascii="Arial" w:hAnsi="Arial"/>
                <w:b/>
                <w:bCs/>
                <w:sz w:val="16"/>
                <w:szCs w:val="16"/>
              </w:rPr>
            </w:pPr>
          </w:p>
        </w:tc>
        <w:tc>
          <w:tcPr>
            <w:tcW w:w="697" w:type="pct"/>
            <w:vMerge/>
            <w:vAlign w:val="center"/>
            <w:hideMark/>
          </w:tcPr>
          <w:p w:rsidR="00D8543E" w:rsidRPr="001E57EA" w:rsidRDefault="00D8543E"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D030C0" w:rsidRPr="001E57EA" w:rsidRDefault="00D030C0" w:rsidP="00D030C0">
            <w:pPr>
              <w:spacing w:before="40" w:after="40"/>
              <w:rPr>
                <w:rFonts w:ascii="Arial" w:hAnsi="Arial"/>
                <w:b/>
                <w:bCs/>
                <w:sz w:val="16"/>
                <w:szCs w:val="16"/>
              </w:rPr>
            </w:pPr>
          </w:p>
        </w:tc>
        <w:tc>
          <w:tcPr>
            <w:tcW w:w="697" w:type="pct"/>
            <w:vMerge/>
            <w:vAlign w:val="center"/>
            <w:hideMark/>
          </w:tcPr>
          <w:p w:rsidR="00D030C0" w:rsidRPr="001E57EA" w:rsidRDefault="00D030C0" w:rsidP="00D030C0">
            <w:pPr>
              <w:spacing w:before="40" w:after="40"/>
              <w:rPr>
                <w:rFonts w:ascii="Arial" w:hAnsi="Arial"/>
                <w:sz w:val="16"/>
                <w:szCs w:val="16"/>
              </w:rPr>
            </w:pPr>
          </w:p>
        </w:tc>
        <w:tc>
          <w:tcPr>
            <w:tcW w:w="1760" w:type="pct"/>
            <w:tcMar>
              <w:top w:w="0" w:type="dxa"/>
              <w:left w:w="108" w:type="dxa"/>
              <w:bottom w:w="0" w:type="dxa"/>
              <w:right w:w="108" w:type="dxa"/>
            </w:tcMar>
            <w:vAlign w:val="center"/>
          </w:tcPr>
          <w:p w:rsidR="00D030C0" w:rsidRPr="001E57EA" w:rsidRDefault="00F5454D" w:rsidP="00D030C0">
            <w:pPr>
              <w:spacing w:before="40" w:after="40"/>
              <w:rPr>
                <w:rFonts w:ascii="Arial" w:hAnsi="Arial"/>
                <w:sz w:val="16"/>
                <w:szCs w:val="16"/>
              </w:rPr>
            </w:pPr>
            <w:r w:rsidRPr="001E57EA">
              <w:rPr>
                <w:rFonts w:ascii="Arial" w:eastAsia="Times New Roman" w:hAnsi="Arial"/>
                <w:sz w:val="16"/>
                <w:szCs w:val="16"/>
                <w:lang w:val="sr-Latn-BA" w:eastAsia="en-GB"/>
              </w:rPr>
              <w:t>350.000</w:t>
            </w:r>
          </w:p>
        </w:tc>
        <w:tc>
          <w:tcPr>
            <w:tcW w:w="944" w:type="pct"/>
            <w:tcMar>
              <w:top w:w="0" w:type="dxa"/>
              <w:left w:w="108" w:type="dxa"/>
              <w:bottom w:w="0" w:type="dxa"/>
              <w:right w:w="108" w:type="dxa"/>
            </w:tcMar>
            <w:vAlign w:val="center"/>
          </w:tcPr>
          <w:p w:rsidR="00D030C0" w:rsidRPr="001E57EA" w:rsidRDefault="00F5454D" w:rsidP="00D030C0">
            <w:pPr>
              <w:spacing w:before="40" w:after="40"/>
              <w:jc w:val="center"/>
              <w:rPr>
                <w:rFonts w:ascii="Arial" w:hAnsi="Arial"/>
                <w:sz w:val="16"/>
                <w:szCs w:val="16"/>
              </w:rPr>
            </w:pPr>
            <w:r w:rsidRPr="001E57EA">
              <w:rPr>
                <w:rFonts w:ascii="Arial" w:eastAsia="Times New Roman" w:hAnsi="Arial"/>
                <w:sz w:val="16"/>
                <w:szCs w:val="16"/>
                <w:lang w:val="sr-Latn-BA" w:eastAsia="en-GB"/>
              </w:rPr>
              <w:t>150.000</w:t>
            </w:r>
          </w:p>
        </w:tc>
        <w:tc>
          <w:tcPr>
            <w:tcW w:w="835" w:type="pct"/>
            <w:tcMar>
              <w:top w:w="0" w:type="dxa"/>
              <w:left w:w="108" w:type="dxa"/>
              <w:bottom w:w="0" w:type="dxa"/>
              <w:right w:w="108" w:type="dxa"/>
            </w:tcMar>
            <w:vAlign w:val="center"/>
          </w:tcPr>
          <w:p w:rsidR="00D030C0" w:rsidRPr="001E57EA" w:rsidRDefault="00F5454D" w:rsidP="00D030C0">
            <w:pPr>
              <w:spacing w:before="40" w:after="40"/>
              <w:jc w:val="center"/>
              <w:rPr>
                <w:rFonts w:ascii="Arial" w:hAnsi="Arial"/>
                <w:sz w:val="16"/>
                <w:szCs w:val="16"/>
              </w:rPr>
            </w:pPr>
            <w:r w:rsidRPr="001E57EA">
              <w:rPr>
                <w:rFonts w:ascii="Arial" w:eastAsia="Times New Roman" w:hAnsi="Arial"/>
                <w:sz w:val="16"/>
                <w:szCs w:val="16"/>
                <w:lang w:val="sr-Latn-BA" w:eastAsia="en-GB"/>
              </w:rPr>
              <w:t>500.000</w:t>
            </w:r>
          </w:p>
        </w:tc>
      </w:tr>
      <w:tr w:rsidR="001E57EA" w:rsidRPr="001E57EA" w:rsidTr="00805D8D">
        <w:trPr>
          <w:trHeight w:val="386"/>
          <w:jc w:val="center"/>
        </w:trPr>
        <w:tc>
          <w:tcPr>
            <w:tcW w:w="764" w:type="pct"/>
            <w:vMerge w:val="restart"/>
            <w:shd w:val="clear" w:color="auto" w:fill="B4C6E7"/>
            <w:tcMar>
              <w:top w:w="0" w:type="dxa"/>
              <w:left w:w="108" w:type="dxa"/>
              <w:bottom w:w="0" w:type="dxa"/>
              <w:right w:w="108" w:type="dxa"/>
            </w:tcMar>
            <w:vAlign w:val="center"/>
          </w:tcPr>
          <w:p w:rsidR="00D8543E" w:rsidRPr="001E57EA" w:rsidRDefault="00D8543E" w:rsidP="00F7078C">
            <w:pPr>
              <w:spacing w:before="40" w:after="40"/>
              <w:rPr>
                <w:rFonts w:ascii="Arial" w:hAnsi="Arial"/>
                <w:b/>
                <w:bCs/>
                <w:sz w:val="16"/>
                <w:szCs w:val="16"/>
                <w:lang w:val="bs-Latn-BA"/>
              </w:rPr>
            </w:pPr>
            <w:r w:rsidRPr="001E57EA">
              <w:rPr>
                <w:rFonts w:ascii="Arial" w:hAnsi="Arial"/>
                <w:b/>
                <w:bCs/>
                <w:sz w:val="16"/>
                <w:szCs w:val="16"/>
                <w:lang w:val="bs-Latn-BA"/>
              </w:rPr>
              <w:lastRenderedPageBreak/>
              <w:t>1.3. Prioritet</w:t>
            </w:r>
          </w:p>
          <w:p w:rsidR="00D8543E" w:rsidRPr="001E57EA" w:rsidRDefault="00D8543E" w:rsidP="00F7078C">
            <w:pPr>
              <w:spacing w:before="40" w:after="40"/>
              <w:rPr>
                <w:rFonts w:ascii="Arial" w:hAnsi="Arial"/>
                <w:b/>
                <w:bCs/>
                <w:sz w:val="16"/>
                <w:szCs w:val="16"/>
                <w:lang w:val="bs-Latn-BA"/>
              </w:rPr>
            </w:pPr>
          </w:p>
        </w:tc>
        <w:tc>
          <w:tcPr>
            <w:tcW w:w="697" w:type="pct"/>
            <w:vMerge w:val="restart"/>
            <w:tcMar>
              <w:top w:w="0" w:type="dxa"/>
              <w:left w:w="108" w:type="dxa"/>
              <w:bottom w:w="0" w:type="dxa"/>
              <w:right w:w="108" w:type="dxa"/>
            </w:tcMar>
            <w:vAlign w:val="center"/>
          </w:tcPr>
          <w:p w:rsidR="00D8543E" w:rsidRPr="001E57EA" w:rsidRDefault="00D8543E" w:rsidP="00F7078C">
            <w:pPr>
              <w:spacing w:before="40" w:after="40"/>
              <w:rPr>
                <w:rFonts w:ascii="Arial" w:hAnsi="Arial"/>
                <w:sz w:val="16"/>
                <w:szCs w:val="16"/>
                <w:lang w:val="bs-Latn-BA"/>
              </w:rPr>
            </w:pPr>
            <w:r w:rsidRPr="001E57EA">
              <w:rPr>
                <w:rFonts w:ascii="Arial" w:hAnsi="Arial"/>
                <w:sz w:val="16"/>
                <w:szCs w:val="16"/>
                <w:lang w:val="bs-Latn-BA"/>
              </w:rPr>
              <w:t>Unaprijediti istražne i pravosudne radnje u slučajevima nasilja u porodici</w:t>
            </w: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Indikatori prioriteta</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Ciljne vrijednosti indikatora</w:t>
            </w:r>
          </w:p>
        </w:tc>
      </w:tr>
      <w:tr w:rsidR="001E57EA" w:rsidRPr="001E57EA" w:rsidTr="00805D8D">
        <w:trPr>
          <w:trHeight w:val="734"/>
          <w:jc w:val="center"/>
        </w:trPr>
        <w:tc>
          <w:tcPr>
            <w:tcW w:w="764" w:type="pct"/>
            <w:vMerge/>
            <w:vAlign w:val="center"/>
            <w:hideMark/>
          </w:tcPr>
          <w:p w:rsidR="00D8543E" w:rsidRPr="001E57EA" w:rsidRDefault="00D8543E" w:rsidP="00D8543E">
            <w:pPr>
              <w:spacing w:before="40" w:after="40"/>
              <w:rPr>
                <w:rFonts w:ascii="Arial" w:hAnsi="Arial"/>
                <w:b/>
                <w:bCs/>
                <w:sz w:val="16"/>
                <w:szCs w:val="16"/>
                <w:lang w:val="bs-Latn-BA"/>
              </w:rPr>
            </w:pPr>
          </w:p>
        </w:tc>
        <w:tc>
          <w:tcPr>
            <w:tcW w:w="697" w:type="pct"/>
            <w:vMerge/>
            <w:vAlign w:val="center"/>
            <w:hideMark/>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vAlign w:val="center"/>
          </w:tcPr>
          <w:p w:rsidR="00D8543E" w:rsidRPr="001E57EA" w:rsidRDefault="00D8543E" w:rsidP="00A80D04">
            <w:pPr>
              <w:spacing w:before="40" w:after="40"/>
              <w:rPr>
                <w:rFonts w:ascii="Arial" w:hAnsi="Arial"/>
                <w:sz w:val="16"/>
                <w:szCs w:val="16"/>
                <w:lang w:val="bs-Latn-BA"/>
              </w:rPr>
            </w:pPr>
            <w:r w:rsidRPr="001E57EA">
              <w:rPr>
                <w:rFonts w:ascii="Arial" w:hAnsi="Arial"/>
                <w:sz w:val="16"/>
                <w:szCs w:val="16"/>
              </w:rPr>
              <w:t>% izvještaja o počinjenom krivičnom djelu u odnosu na broj prijava</w:t>
            </w:r>
          </w:p>
        </w:tc>
        <w:tc>
          <w:tcPr>
            <w:tcW w:w="944"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51% (2019)</w:t>
            </w:r>
          </w:p>
        </w:tc>
        <w:tc>
          <w:tcPr>
            <w:tcW w:w="835"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90% (2027)</w:t>
            </w:r>
          </w:p>
        </w:tc>
      </w:tr>
      <w:tr w:rsidR="001E57EA" w:rsidRPr="001E57EA" w:rsidTr="00805D8D">
        <w:trPr>
          <w:trHeight w:val="734"/>
          <w:jc w:val="center"/>
        </w:trPr>
        <w:tc>
          <w:tcPr>
            <w:tcW w:w="764" w:type="pct"/>
            <w:vMerge/>
            <w:vAlign w:val="center"/>
          </w:tcPr>
          <w:p w:rsidR="00D8543E" w:rsidRPr="001E57EA" w:rsidRDefault="00D8543E" w:rsidP="00D8543E">
            <w:pPr>
              <w:spacing w:before="40" w:after="40"/>
              <w:rPr>
                <w:rFonts w:ascii="Arial" w:hAnsi="Arial"/>
                <w:b/>
                <w:bCs/>
                <w:sz w:val="16"/>
                <w:szCs w:val="16"/>
                <w:lang w:val="bs-Latn-BA"/>
              </w:rPr>
            </w:pPr>
          </w:p>
        </w:tc>
        <w:tc>
          <w:tcPr>
            <w:tcW w:w="697" w:type="pct"/>
            <w:vMerge/>
            <w:vAlign w:val="center"/>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vAlign w:val="center"/>
          </w:tcPr>
          <w:p w:rsidR="00D8543E" w:rsidRPr="001E57EA" w:rsidRDefault="00D8543E" w:rsidP="00A80D04">
            <w:pPr>
              <w:spacing w:before="40" w:after="40"/>
              <w:rPr>
                <w:rFonts w:ascii="Arial" w:hAnsi="Arial"/>
                <w:sz w:val="16"/>
                <w:szCs w:val="16"/>
                <w:lang w:val="bs-Latn-BA"/>
              </w:rPr>
            </w:pPr>
            <w:r w:rsidRPr="001E57EA">
              <w:rPr>
                <w:rFonts w:ascii="Arial" w:hAnsi="Arial"/>
                <w:sz w:val="16"/>
                <w:szCs w:val="16"/>
              </w:rPr>
              <w:t>% zahtjeva za izricanjem zaštitnih mjera u odnosu na broj prijava</w:t>
            </w:r>
          </w:p>
        </w:tc>
        <w:tc>
          <w:tcPr>
            <w:tcW w:w="944"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26% (2019)</w:t>
            </w:r>
          </w:p>
        </w:tc>
        <w:tc>
          <w:tcPr>
            <w:tcW w:w="835"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100% (2027)</w:t>
            </w:r>
          </w:p>
        </w:tc>
      </w:tr>
      <w:tr w:rsidR="001E57EA" w:rsidRPr="001E57EA" w:rsidTr="00805D8D">
        <w:trPr>
          <w:trHeight w:val="734"/>
          <w:jc w:val="center"/>
        </w:trPr>
        <w:tc>
          <w:tcPr>
            <w:tcW w:w="764" w:type="pct"/>
            <w:vMerge/>
            <w:vAlign w:val="center"/>
          </w:tcPr>
          <w:p w:rsidR="00D8543E" w:rsidRPr="001E57EA" w:rsidRDefault="00D8543E" w:rsidP="00D8543E">
            <w:pPr>
              <w:spacing w:before="40" w:after="40"/>
              <w:rPr>
                <w:rFonts w:ascii="Arial" w:hAnsi="Arial"/>
                <w:b/>
                <w:bCs/>
                <w:sz w:val="16"/>
                <w:szCs w:val="16"/>
                <w:lang w:val="bs-Latn-BA"/>
              </w:rPr>
            </w:pPr>
          </w:p>
        </w:tc>
        <w:tc>
          <w:tcPr>
            <w:tcW w:w="697" w:type="pct"/>
            <w:vMerge/>
            <w:vAlign w:val="center"/>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vAlign w:val="center"/>
          </w:tcPr>
          <w:p w:rsidR="00D8543E" w:rsidRPr="001E57EA" w:rsidRDefault="00D8543E" w:rsidP="00A80D04">
            <w:pPr>
              <w:spacing w:before="40" w:after="40"/>
              <w:rPr>
                <w:rFonts w:ascii="Arial" w:hAnsi="Arial"/>
                <w:sz w:val="16"/>
                <w:szCs w:val="16"/>
                <w:lang w:val="bs-Latn-BA"/>
              </w:rPr>
            </w:pPr>
            <w:r w:rsidRPr="001E57EA">
              <w:rPr>
                <w:rFonts w:ascii="Arial" w:hAnsi="Arial"/>
                <w:sz w:val="16"/>
                <w:szCs w:val="16"/>
              </w:rPr>
              <w:t>% izrečenih sankcija u odnosu na broj podnesenih izvještaja o počinjenom krivičnom djelu</w:t>
            </w:r>
          </w:p>
        </w:tc>
        <w:tc>
          <w:tcPr>
            <w:tcW w:w="944" w:type="pct"/>
            <w:tcMar>
              <w:top w:w="0" w:type="dxa"/>
              <w:left w:w="108" w:type="dxa"/>
              <w:bottom w:w="0" w:type="dxa"/>
              <w:right w:w="108" w:type="dxa"/>
            </w:tcMar>
            <w:vAlign w:val="center"/>
          </w:tcPr>
          <w:p w:rsidR="00D8543E" w:rsidRPr="001E57EA" w:rsidRDefault="00D8543E" w:rsidP="00841C40">
            <w:pPr>
              <w:pStyle w:val="Default"/>
              <w:jc w:val="center"/>
              <w:rPr>
                <w:rFonts w:ascii="Arial" w:hAnsi="Arial" w:cs="Arial"/>
                <w:color w:val="auto"/>
                <w:sz w:val="16"/>
                <w:szCs w:val="16"/>
              </w:rPr>
            </w:pPr>
            <w:r w:rsidRPr="001E57EA">
              <w:rPr>
                <w:rFonts w:ascii="Arial" w:hAnsi="Arial" w:cs="Arial"/>
                <w:color w:val="auto"/>
                <w:sz w:val="16"/>
                <w:szCs w:val="16"/>
              </w:rPr>
              <w:t>75% (2019)</w:t>
            </w:r>
          </w:p>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33% (2020)</w:t>
            </w:r>
          </w:p>
        </w:tc>
        <w:tc>
          <w:tcPr>
            <w:tcW w:w="835"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90% (2027)</w:t>
            </w:r>
          </w:p>
        </w:tc>
      </w:tr>
      <w:tr w:rsidR="001E57EA" w:rsidRPr="001E57EA" w:rsidTr="00805D8D">
        <w:trPr>
          <w:trHeight w:val="734"/>
          <w:jc w:val="center"/>
        </w:trPr>
        <w:tc>
          <w:tcPr>
            <w:tcW w:w="764" w:type="pct"/>
            <w:vMerge/>
            <w:vAlign w:val="center"/>
          </w:tcPr>
          <w:p w:rsidR="00D8543E" w:rsidRPr="001E57EA" w:rsidRDefault="00D8543E" w:rsidP="00D8543E">
            <w:pPr>
              <w:spacing w:before="40" w:after="40"/>
              <w:rPr>
                <w:rFonts w:ascii="Arial" w:hAnsi="Arial"/>
                <w:b/>
                <w:bCs/>
                <w:sz w:val="16"/>
                <w:szCs w:val="16"/>
                <w:lang w:val="bs-Latn-BA"/>
              </w:rPr>
            </w:pPr>
          </w:p>
        </w:tc>
        <w:tc>
          <w:tcPr>
            <w:tcW w:w="697" w:type="pct"/>
            <w:vMerge/>
            <w:vAlign w:val="center"/>
          </w:tcPr>
          <w:p w:rsidR="00D8543E" w:rsidRPr="001E57EA" w:rsidRDefault="00D8543E" w:rsidP="00D8543E">
            <w:pPr>
              <w:spacing w:before="40" w:after="40"/>
              <w:rPr>
                <w:rFonts w:ascii="Arial" w:hAnsi="Arial"/>
                <w:sz w:val="16"/>
                <w:szCs w:val="16"/>
              </w:rPr>
            </w:pPr>
          </w:p>
        </w:tc>
        <w:tc>
          <w:tcPr>
            <w:tcW w:w="1760" w:type="pct"/>
            <w:tcMar>
              <w:top w:w="0" w:type="dxa"/>
              <w:left w:w="108" w:type="dxa"/>
              <w:bottom w:w="0" w:type="dxa"/>
              <w:right w:w="108" w:type="dxa"/>
            </w:tcMar>
            <w:vAlign w:val="center"/>
          </w:tcPr>
          <w:p w:rsidR="00D8543E" w:rsidRPr="001E57EA" w:rsidRDefault="00D8543E" w:rsidP="00A80D04">
            <w:pPr>
              <w:spacing w:before="40" w:after="40"/>
              <w:rPr>
                <w:rFonts w:ascii="Arial" w:hAnsi="Arial"/>
                <w:sz w:val="16"/>
                <w:szCs w:val="16"/>
                <w:lang w:val="bs-Latn-BA"/>
              </w:rPr>
            </w:pPr>
            <w:r w:rsidRPr="001E57EA">
              <w:rPr>
                <w:rFonts w:ascii="Arial" w:hAnsi="Arial"/>
                <w:sz w:val="16"/>
                <w:szCs w:val="16"/>
              </w:rPr>
              <w:t xml:space="preserve">% izrečenih </w:t>
            </w:r>
            <w:r w:rsidR="00064FB0" w:rsidRPr="001E57EA">
              <w:rPr>
                <w:rFonts w:ascii="Arial" w:hAnsi="Arial"/>
                <w:sz w:val="16"/>
                <w:szCs w:val="16"/>
              </w:rPr>
              <w:t>uvjet</w:t>
            </w:r>
            <w:r w:rsidRPr="001E57EA">
              <w:rPr>
                <w:rFonts w:ascii="Arial" w:hAnsi="Arial"/>
                <w:sz w:val="16"/>
                <w:szCs w:val="16"/>
              </w:rPr>
              <w:t>nih presuda</w:t>
            </w:r>
          </w:p>
        </w:tc>
        <w:tc>
          <w:tcPr>
            <w:tcW w:w="944" w:type="pct"/>
            <w:tcMar>
              <w:top w:w="0" w:type="dxa"/>
              <w:left w:w="108" w:type="dxa"/>
              <w:bottom w:w="0" w:type="dxa"/>
              <w:right w:w="108" w:type="dxa"/>
            </w:tcMar>
            <w:vAlign w:val="center"/>
          </w:tcPr>
          <w:p w:rsidR="00D8543E" w:rsidRPr="001E57EA" w:rsidRDefault="00D8543E" w:rsidP="00841C40">
            <w:pPr>
              <w:pStyle w:val="Default"/>
              <w:jc w:val="center"/>
              <w:rPr>
                <w:rFonts w:ascii="Arial" w:hAnsi="Arial" w:cs="Arial"/>
                <w:color w:val="auto"/>
                <w:sz w:val="16"/>
                <w:szCs w:val="16"/>
              </w:rPr>
            </w:pPr>
            <w:r w:rsidRPr="001E57EA">
              <w:rPr>
                <w:rFonts w:ascii="Arial" w:hAnsi="Arial" w:cs="Arial"/>
                <w:color w:val="auto"/>
                <w:sz w:val="16"/>
                <w:szCs w:val="16"/>
              </w:rPr>
              <w:t>72% (2019)</w:t>
            </w:r>
          </w:p>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75% (2020)</w:t>
            </w:r>
          </w:p>
        </w:tc>
        <w:tc>
          <w:tcPr>
            <w:tcW w:w="835" w:type="pct"/>
            <w:tcMar>
              <w:top w:w="0" w:type="dxa"/>
              <w:left w:w="108" w:type="dxa"/>
              <w:bottom w:w="0" w:type="dxa"/>
              <w:right w:w="108" w:type="dxa"/>
            </w:tcMar>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rPr>
              <w:t>30% (2027)</w:t>
            </w:r>
          </w:p>
        </w:tc>
      </w:tr>
      <w:tr w:rsidR="001E57EA" w:rsidRPr="001E57EA" w:rsidTr="00805D8D">
        <w:trPr>
          <w:trHeight w:val="377"/>
          <w:jc w:val="center"/>
        </w:trPr>
        <w:tc>
          <w:tcPr>
            <w:tcW w:w="764" w:type="pct"/>
            <w:vMerge/>
            <w:vAlign w:val="center"/>
            <w:hideMark/>
          </w:tcPr>
          <w:p w:rsidR="00D8543E" w:rsidRPr="001E57EA" w:rsidRDefault="00D8543E" w:rsidP="00F7078C">
            <w:pPr>
              <w:spacing w:before="40" w:after="40"/>
              <w:rPr>
                <w:rFonts w:ascii="Arial" w:hAnsi="Arial"/>
                <w:b/>
                <w:bCs/>
                <w:sz w:val="16"/>
                <w:szCs w:val="16"/>
                <w:lang w:val="bs-Latn-BA"/>
              </w:rPr>
            </w:pPr>
          </w:p>
        </w:tc>
        <w:tc>
          <w:tcPr>
            <w:tcW w:w="697" w:type="pct"/>
            <w:vMerge/>
            <w:vAlign w:val="center"/>
            <w:hideMark/>
          </w:tcPr>
          <w:p w:rsidR="00D8543E" w:rsidRPr="001E57EA" w:rsidRDefault="00D8543E"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910500" w:rsidRPr="001E57EA" w:rsidRDefault="00910500" w:rsidP="00910500">
            <w:pPr>
              <w:spacing w:before="40" w:after="40"/>
              <w:rPr>
                <w:rFonts w:ascii="Arial" w:hAnsi="Arial"/>
                <w:b/>
                <w:bCs/>
                <w:sz w:val="16"/>
                <w:szCs w:val="16"/>
                <w:lang w:val="bs-Latn-BA"/>
              </w:rPr>
            </w:pPr>
          </w:p>
        </w:tc>
        <w:tc>
          <w:tcPr>
            <w:tcW w:w="697" w:type="pct"/>
            <w:vMerge/>
            <w:vAlign w:val="center"/>
            <w:hideMark/>
          </w:tcPr>
          <w:p w:rsidR="00910500" w:rsidRPr="001E57EA" w:rsidRDefault="00910500" w:rsidP="00910500">
            <w:pPr>
              <w:spacing w:before="40" w:after="40"/>
              <w:rPr>
                <w:rFonts w:ascii="Arial" w:hAnsi="Arial"/>
                <w:sz w:val="16"/>
                <w:szCs w:val="16"/>
              </w:rPr>
            </w:pPr>
          </w:p>
        </w:tc>
        <w:tc>
          <w:tcPr>
            <w:tcW w:w="1760" w:type="pct"/>
            <w:tcMar>
              <w:top w:w="0" w:type="dxa"/>
              <w:left w:w="108" w:type="dxa"/>
              <w:bottom w:w="0" w:type="dxa"/>
              <w:right w:w="108" w:type="dxa"/>
            </w:tcMar>
            <w:vAlign w:val="center"/>
          </w:tcPr>
          <w:p w:rsidR="00910500" w:rsidRPr="001E57EA" w:rsidRDefault="00F5454D" w:rsidP="00910500">
            <w:pPr>
              <w:spacing w:before="40" w:after="40"/>
              <w:rPr>
                <w:rFonts w:ascii="Arial" w:hAnsi="Arial"/>
                <w:sz w:val="16"/>
                <w:szCs w:val="16"/>
                <w:lang w:val="bs-Latn-BA"/>
              </w:rPr>
            </w:pPr>
            <w:r w:rsidRPr="001E57EA">
              <w:rPr>
                <w:rFonts w:ascii="Arial" w:hAnsi="Arial"/>
                <w:sz w:val="16"/>
                <w:szCs w:val="16"/>
                <w:lang w:val="bs-Latn-BA"/>
              </w:rPr>
              <w:t>2.400.000</w:t>
            </w:r>
          </w:p>
        </w:tc>
        <w:tc>
          <w:tcPr>
            <w:tcW w:w="944" w:type="pct"/>
            <w:tcMar>
              <w:top w:w="0" w:type="dxa"/>
              <w:left w:w="108" w:type="dxa"/>
              <w:bottom w:w="0" w:type="dxa"/>
              <w:right w:w="108" w:type="dxa"/>
            </w:tcMar>
            <w:vAlign w:val="center"/>
          </w:tcPr>
          <w:p w:rsidR="00910500" w:rsidRPr="001E57EA" w:rsidRDefault="00F5454D" w:rsidP="00910500">
            <w:pPr>
              <w:spacing w:before="40" w:after="40"/>
              <w:jc w:val="center"/>
              <w:rPr>
                <w:rFonts w:ascii="Arial" w:hAnsi="Arial"/>
                <w:sz w:val="16"/>
                <w:szCs w:val="16"/>
                <w:lang w:val="bs-Latn-BA"/>
              </w:rPr>
            </w:pPr>
            <w:r w:rsidRPr="001E57EA">
              <w:rPr>
                <w:rFonts w:ascii="Arial" w:hAnsi="Arial"/>
                <w:sz w:val="16"/>
                <w:szCs w:val="16"/>
                <w:lang w:val="bs-Latn-BA"/>
              </w:rPr>
              <w:t>1.740.000</w:t>
            </w:r>
          </w:p>
        </w:tc>
        <w:tc>
          <w:tcPr>
            <w:tcW w:w="835" w:type="pct"/>
            <w:tcMar>
              <w:top w:w="0" w:type="dxa"/>
              <w:left w:w="108" w:type="dxa"/>
              <w:bottom w:w="0" w:type="dxa"/>
              <w:right w:w="108" w:type="dxa"/>
            </w:tcMar>
            <w:vAlign w:val="center"/>
          </w:tcPr>
          <w:p w:rsidR="00910500" w:rsidRPr="001E57EA" w:rsidRDefault="00634AC2" w:rsidP="00910500">
            <w:pPr>
              <w:spacing w:before="40" w:after="40"/>
              <w:jc w:val="center"/>
              <w:rPr>
                <w:rFonts w:ascii="Arial" w:hAnsi="Arial"/>
                <w:sz w:val="16"/>
                <w:szCs w:val="16"/>
                <w:lang w:val="bs-Latn-BA"/>
              </w:rPr>
            </w:pPr>
            <w:r w:rsidRPr="001E57EA">
              <w:rPr>
                <w:rFonts w:ascii="Arial" w:hAnsi="Arial"/>
                <w:sz w:val="16"/>
                <w:szCs w:val="16"/>
                <w:lang w:val="bs-Latn-BA"/>
              </w:rPr>
              <w:t>4</w:t>
            </w:r>
            <w:r w:rsidR="00F5454D" w:rsidRPr="001E57EA">
              <w:rPr>
                <w:rFonts w:ascii="Arial" w:hAnsi="Arial"/>
                <w:sz w:val="16"/>
                <w:szCs w:val="16"/>
                <w:lang w:val="bs-Latn-BA"/>
              </w:rPr>
              <w:t>.140.000</w:t>
            </w:r>
          </w:p>
        </w:tc>
      </w:tr>
      <w:tr w:rsidR="001E57EA" w:rsidRPr="001E57EA" w:rsidTr="00805D8D">
        <w:trPr>
          <w:trHeight w:val="548"/>
          <w:jc w:val="center"/>
        </w:trPr>
        <w:tc>
          <w:tcPr>
            <w:tcW w:w="764" w:type="pct"/>
            <w:vMerge w:val="restart"/>
            <w:shd w:val="clear" w:color="auto" w:fill="FBE4D5"/>
            <w:tcMar>
              <w:top w:w="0" w:type="dxa"/>
              <w:left w:w="108" w:type="dxa"/>
              <w:bottom w:w="0" w:type="dxa"/>
              <w:right w:w="108" w:type="dxa"/>
            </w:tcMar>
            <w:vAlign w:val="center"/>
            <w:hideMark/>
          </w:tcPr>
          <w:p w:rsidR="00D8543E" w:rsidRPr="001E57EA" w:rsidRDefault="00D8543E" w:rsidP="00D8543E">
            <w:pPr>
              <w:spacing w:before="40" w:after="40"/>
              <w:rPr>
                <w:rFonts w:ascii="Arial" w:hAnsi="Arial"/>
                <w:b/>
                <w:bCs/>
                <w:sz w:val="16"/>
                <w:szCs w:val="16"/>
                <w:lang w:val="bs-Latn-BA"/>
              </w:rPr>
            </w:pPr>
            <w:r w:rsidRPr="001E57EA">
              <w:rPr>
                <w:rFonts w:ascii="Arial" w:hAnsi="Arial"/>
                <w:b/>
                <w:bCs/>
                <w:sz w:val="16"/>
                <w:szCs w:val="16"/>
                <w:lang w:val="bs-Latn-BA"/>
              </w:rPr>
              <w:t>1.3.1. Mjera</w:t>
            </w:r>
          </w:p>
        </w:tc>
        <w:tc>
          <w:tcPr>
            <w:tcW w:w="697" w:type="pct"/>
            <w:vMerge w:val="restart"/>
            <w:tcMar>
              <w:top w:w="0" w:type="dxa"/>
              <w:left w:w="108" w:type="dxa"/>
              <w:bottom w:w="0" w:type="dxa"/>
              <w:right w:w="108" w:type="dxa"/>
            </w:tcMar>
            <w:vAlign w:val="center"/>
          </w:tcPr>
          <w:p w:rsidR="00D8543E" w:rsidRPr="001E57EA" w:rsidRDefault="00D8543E" w:rsidP="00F7078C">
            <w:pPr>
              <w:spacing w:before="40" w:after="40"/>
              <w:rPr>
                <w:rFonts w:ascii="Arial" w:hAnsi="Arial"/>
                <w:sz w:val="16"/>
                <w:szCs w:val="16"/>
                <w:lang w:val="bs-Latn-BA"/>
              </w:rPr>
            </w:pPr>
            <w:r w:rsidRPr="001E57EA">
              <w:rPr>
                <w:rFonts w:ascii="Arial" w:hAnsi="Arial"/>
                <w:sz w:val="16"/>
                <w:szCs w:val="16"/>
                <w:lang w:val="bs-Latn-BA"/>
              </w:rPr>
              <w:t xml:space="preserve">Poboljšati </w:t>
            </w:r>
            <w:r w:rsidR="00064FB0" w:rsidRPr="001E57EA">
              <w:rPr>
                <w:rFonts w:ascii="Arial" w:hAnsi="Arial"/>
                <w:sz w:val="16"/>
                <w:szCs w:val="16"/>
                <w:lang w:val="bs-Latn-BA"/>
              </w:rPr>
              <w:t>uvjet</w:t>
            </w:r>
            <w:r w:rsidRPr="001E57EA">
              <w:rPr>
                <w:rFonts w:ascii="Arial" w:hAnsi="Arial"/>
                <w:sz w:val="16"/>
                <w:szCs w:val="16"/>
                <w:lang w:val="bs-Latn-BA"/>
              </w:rPr>
              <w:t>e za žrtave nasilja, djecu žrtava i svjedoke tokom istražnih i pravosudnih radnji</w:t>
            </w: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139"/>
          <w:jc w:val="center"/>
        </w:trPr>
        <w:tc>
          <w:tcPr>
            <w:tcW w:w="764" w:type="pct"/>
            <w:vMerge/>
            <w:vAlign w:val="center"/>
            <w:hideMark/>
          </w:tcPr>
          <w:p w:rsidR="00841C40" w:rsidRPr="001E57EA" w:rsidRDefault="00841C40" w:rsidP="00841C40">
            <w:pPr>
              <w:spacing w:before="40" w:after="40"/>
              <w:rPr>
                <w:rFonts w:ascii="Arial" w:hAnsi="Arial"/>
                <w:b/>
                <w:bCs/>
                <w:sz w:val="16"/>
                <w:szCs w:val="16"/>
              </w:rPr>
            </w:pPr>
          </w:p>
        </w:tc>
        <w:tc>
          <w:tcPr>
            <w:tcW w:w="697" w:type="pct"/>
            <w:vMerge/>
            <w:vAlign w:val="center"/>
            <w:hideMark/>
          </w:tcPr>
          <w:p w:rsidR="00841C40" w:rsidRPr="001E57EA" w:rsidRDefault="00841C40" w:rsidP="00841C40">
            <w:pPr>
              <w:spacing w:before="40" w:after="40"/>
              <w:rPr>
                <w:rFonts w:ascii="Arial" w:hAnsi="Arial"/>
                <w:sz w:val="16"/>
                <w:szCs w:val="16"/>
              </w:rPr>
            </w:pPr>
          </w:p>
        </w:tc>
        <w:tc>
          <w:tcPr>
            <w:tcW w:w="1760" w:type="pct"/>
            <w:tcMar>
              <w:top w:w="0" w:type="dxa"/>
              <w:left w:w="108" w:type="dxa"/>
              <w:bottom w:w="0" w:type="dxa"/>
              <w:right w:w="108" w:type="dxa"/>
            </w:tcMar>
          </w:tcPr>
          <w:p w:rsidR="00841C40" w:rsidRPr="001E57EA" w:rsidRDefault="00841C40" w:rsidP="00841C40">
            <w:pPr>
              <w:spacing w:before="40" w:after="40"/>
              <w:rPr>
                <w:rFonts w:ascii="Arial" w:hAnsi="Arial"/>
                <w:sz w:val="16"/>
                <w:szCs w:val="16"/>
                <w:lang w:val="bs-Latn-BA"/>
              </w:rPr>
            </w:pPr>
            <w:r w:rsidRPr="001E57EA">
              <w:rPr>
                <w:rFonts w:ascii="Arial" w:hAnsi="Arial"/>
                <w:sz w:val="16"/>
                <w:szCs w:val="16"/>
              </w:rPr>
              <w:t>% slučajeva u kojima su djeca prepoznata kao žrtve štićene zaštitnom mjerom</w:t>
            </w:r>
          </w:p>
        </w:tc>
        <w:tc>
          <w:tcPr>
            <w:tcW w:w="944" w:type="pct"/>
            <w:tcMar>
              <w:top w:w="0" w:type="dxa"/>
              <w:left w:w="108" w:type="dxa"/>
              <w:bottom w:w="0" w:type="dxa"/>
              <w:right w:w="108" w:type="dxa"/>
            </w:tcMar>
            <w:vAlign w:val="center"/>
          </w:tcPr>
          <w:p w:rsidR="00841C40" w:rsidRPr="001E57EA" w:rsidRDefault="00841C40" w:rsidP="00841C40">
            <w:pPr>
              <w:spacing w:before="40" w:after="40"/>
              <w:jc w:val="center"/>
              <w:rPr>
                <w:rFonts w:ascii="Arial" w:hAnsi="Arial"/>
                <w:sz w:val="16"/>
                <w:szCs w:val="16"/>
                <w:lang w:val="bs-Latn-BA"/>
              </w:rPr>
            </w:pPr>
            <w:r w:rsidRPr="001E57EA">
              <w:rPr>
                <w:rFonts w:ascii="Arial" w:hAnsi="Arial"/>
                <w:sz w:val="16"/>
                <w:szCs w:val="16"/>
              </w:rPr>
              <w:t>11,43% (2018)</w:t>
            </w:r>
          </w:p>
        </w:tc>
        <w:tc>
          <w:tcPr>
            <w:tcW w:w="835" w:type="pct"/>
            <w:vAlign w:val="center"/>
          </w:tcPr>
          <w:p w:rsidR="00841C40" w:rsidRPr="001E57EA" w:rsidRDefault="00841C40" w:rsidP="00841C40">
            <w:pPr>
              <w:spacing w:before="40" w:after="40"/>
              <w:jc w:val="center"/>
              <w:rPr>
                <w:rFonts w:ascii="Arial" w:hAnsi="Arial"/>
                <w:sz w:val="16"/>
                <w:szCs w:val="16"/>
                <w:lang w:val="bs-Latn-BA"/>
              </w:rPr>
            </w:pPr>
            <w:r w:rsidRPr="001E57EA">
              <w:rPr>
                <w:rFonts w:ascii="Arial" w:hAnsi="Arial"/>
                <w:sz w:val="16"/>
                <w:szCs w:val="16"/>
              </w:rPr>
              <w:t>80% (2027)</w:t>
            </w:r>
          </w:p>
        </w:tc>
      </w:tr>
      <w:tr w:rsidR="001E57EA" w:rsidRPr="001E57EA" w:rsidTr="00805D8D">
        <w:trPr>
          <w:trHeight w:val="485"/>
          <w:jc w:val="center"/>
        </w:trPr>
        <w:tc>
          <w:tcPr>
            <w:tcW w:w="764" w:type="pct"/>
            <w:vMerge/>
            <w:vAlign w:val="center"/>
            <w:hideMark/>
          </w:tcPr>
          <w:p w:rsidR="00D8543E" w:rsidRPr="001E57EA" w:rsidRDefault="00D8543E" w:rsidP="00F7078C">
            <w:pPr>
              <w:spacing w:before="40" w:after="40"/>
              <w:rPr>
                <w:rFonts w:ascii="Arial" w:hAnsi="Arial"/>
                <w:b/>
                <w:bCs/>
                <w:sz w:val="16"/>
                <w:szCs w:val="16"/>
              </w:rPr>
            </w:pPr>
          </w:p>
        </w:tc>
        <w:tc>
          <w:tcPr>
            <w:tcW w:w="697" w:type="pct"/>
            <w:vMerge/>
            <w:vAlign w:val="center"/>
            <w:hideMark/>
          </w:tcPr>
          <w:p w:rsidR="00D8543E" w:rsidRPr="001E57EA" w:rsidRDefault="00D8543E"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D8543E" w:rsidRPr="001E57EA" w:rsidRDefault="00D8543E"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D8543E" w:rsidRPr="001E57EA" w:rsidRDefault="00D8543E"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1E57EA" w:rsidRPr="001E57EA" w:rsidTr="00805D8D">
        <w:trPr>
          <w:trHeight w:val="485"/>
          <w:jc w:val="center"/>
        </w:trPr>
        <w:tc>
          <w:tcPr>
            <w:tcW w:w="764" w:type="pct"/>
            <w:vMerge/>
            <w:vAlign w:val="center"/>
            <w:hideMark/>
          </w:tcPr>
          <w:p w:rsidR="00910500" w:rsidRPr="001E57EA" w:rsidRDefault="00910500" w:rsidP="00910500">
            <w:pPr>
              <w:spacing w:before="40" w:after="40"/>
              <w:rPr>
                <w:rFonts w:ascii="Arial" w:hAnsi="Arial"/>
                <w:b/>
                <w:bCs/>
                <w:sz w:val="16"/>
                <w:szCs w:val="16"/>
              </w:rPr>
            </w:pPr>
          </w:p>
        </w:tc>
        <w:tc>
          <w:tcPr>
            <w:tcW w:w="697" w:type="pct"/>
            <w:vMerge/>
            <w:vAlign w:val="center"/>
            <w:hideMark/>
          </w:tcPr>
          <w:p w:rsidR="00910500" w:rsidRPr="001E57EA" w:rsidRDefault="00910500" w:rsidP="00910500">
            <w:pPr>
              <w:spacing w:before="40" w:after="40"/>
              <w:rPr>
                <w:rFonts w:ascii="Arial" w:hAnsi="Arial"/>
                <w:sz w:val="16"/>
                <w:szCs w:val="16"/>
              </w:rPr>
            </w:pPr>
          </w:p>
        </w:tc>
        <w:tc>
          <w:tcPr>
            <w:tcW w:w="1760" w:type="pct"/>
            <w:tcMar>
              <w:top w:w="0" w:type="dxa"/>
              <w:left w:w="108" w:type="dxa"/>
              <w:bottom w:w="0" w:type="dxa"/>
              <w:right w:w="108" w:type="dxa"/>
            </w:tcMar>
            <w:vAlign w:val="center"/>
          </w:tcPr>
          <w:p w:rsidR="00910500" w:rsidRPr="001E57EA" w:rsidRDefault="00634AC2" w:rsidP="00910500">
            <w:pPr>
              <w:spacing w:before="40" w:after="40"/>
              <w:rPr>
                <w:rFonts w:ascii="Arial" w:hAnsi="Arial"/>
                <w:sz w:val="16"/>
                <w:szCs w:val="16"/>
              </w:rPr>
            </w:pPr>
            <w:r w:rsidRPr="001E57EA">
              <w:rPr>
                <w:rFonts w:ascii="Arial" w:hAnsi="Arial"/>
                <w:sz w:val="16"/>
                <w:szCs w:val="16"/>
              </w:rPr>
              <w:t>850.000</w:t>
            </w:r>
          </w:p>
        </w:tc>
        <w:tc>
          <w:tcPr>
            <w:tcW w:w="944" w:type="pct"/>
            <w:tcMar>
              <w:top w:w="0" w:type="dxa"/>
              <w:left w:w="108" w:type="dxa"/>
              <w:bottom w:w="0" w:type="dxa"/>
              <w:right w:w="108" w:type="dxa"/>
            </w:tcMar>
            <w:vAlign w:val="center"/>
          </w:tcPr>
          <w:p w:rsidR="00910500" w:rsidRPr="001E57EA" w:rsidRDefault="00634AC2" w:rsidP="00910500">
            <w:pPr>
              <w:spacing w:before="40" w:after="40"/>
              <w:jc w:val="center"/>
              <w:rPr>
                <w:rFonts w:ascii="Arial" w:hAnsi="Arial"/>
                <w:sz w:val="16"/>
                <w:szCs w:val="16"/>
              </w:rPr>
            </w:pPr>
            <w:r w:rsidRPr="001E57EA">
              <w:rPr>
                <w:rFonts w:ascii="Arial" w:hAnsi="Arial"/>
                <w:sz w:val="16"/>
                <w:szCs w:val="16"/>
              </w:rPr>
              <w:t>1.000.000</w:t>
            </w:r>
          </w:p>
        </w:tc>
        <w:tc>
          <w:tcPr>
            <w:tcW w:w="835" w:type="pct"/>
            <w:tcMar>
              <w:top w:w="0" w:type="dxa"/>
              <w:left w:w="108" w:type="dxa"/>
              <w:bottom w:w="0" w:type="dxa"/>
              <w:right w:w="108" w:type="dxa"/>
            </w:tcMar>
            <w:vAlign w:val="center"/>
          </w:tcPr>
          <w:p w:rsidR="00910500" w:rsidRPr="001E57EA" w:rsidRDefault="00634AC2" w:rsidP="00910500">
            <w:pPr>
              <w:spacing w:before="40" w:after="40"/>
              <w:jc w:val="center"/>
              <w:rPr>
                <w:rFonts w:ascii="Arial" w:hAnsi="Arial"/>
                <w:sz w:val="16"/>
                <w:szCs w:val="16"/>
              </w:rPr>
            </w:pPr>
            <w:r w:rsidRPr="001E57EA">
              <w:rPr>
                <w:rFonts w:ascii="Arial" w:hAnsi="Arial"/>
                <w:sz w:val="16"/>
                <w:szCs w:val="16"/>
              </w:rPr>
              <w:t>1.850.000</w:t>
            </w:r>
          </w:p>
        </w:tc>
      </w:tr>
      <w:tr w:rsidR="001E57EA" w:rsidRPr="001E57EA" w:rsidTr="00805D8D">
        <w:trPr>
          <w:trHeight w:val="485"/>
          <w:jc w:val="center"/>
        </w:trPr>
        <w:tc>
          <w:tcPr>
            <w:tcW w:w="764" w:type="pct"/>
            <w:vMerge w:val="restart"/>
            <w:shd w:val="clear" w:color="auto" w:fill="FBE4D5"/>
            <w:tcMar>
              <w:top w:w="0" w:type="dxa"/>
              <w:left w:w="108" w:type="dxa"/>
              <w:bottom w:w="0" w:type="dxa"/>
              <w:right w:w="108" w:type="dxa"/>
            </w:tcMar>
            <w:vAlign w:val="center"/>
            <w:hideMark/>
          </w:tcPr>
          <w:p w:rsidR="00841C40" w:rsidRPr="001E57EA" w:rsidRDefault="002B1FB2" w:rsidP="00841C40">
            <w:pPr>
              <w:spacing w:before="40" w:after="40"/>
              <w:rPr>
                <w:rFonts w:ascii="Arial" w:hAnsi="Arial"/>
                <w:b/>
                <w:bCs/>
                <w:sz w:val="16"/>
                <w:szCs w:val="16"/>
                <w:lang w:val="bs-Latn-BA"/>
              </w:rPr>
            </w:pPr>
            <w:r w:rsidRPr="001E57EA">
              <w:rPr>
                <w:rFonts w:ascii="Arial" w:hAnsi="Arial"/>
                <w:b/>
                <w:bCs/>
                <w:sz w:val="16"/>
                <w:szCs w:val="16"/>
                <w:lang w:val="bs-Latn-BA"/>
              </w:rPr>
              <w:t>1.3</w:t>
            </w:r>
            <w:r w:rsidR="00841C40" w:rsidRPr="001E57EA">
              <w:rPr>
                <w:rFonts w:ascii="Arial" w:hAnsi="Arial"/>
                <w:b/>
                <w:bCs/>
                <w:sz w:val="16"/>
                <w:szCs w:val="16"/>
                <w:lang w:val="bs-Latn-BA"/>
              </w:rPr>
              <w:t>.2. Mjera</w:t>
            </w:r>
          </w:p>
        </w:tc>
        <w:tc>
          <w:tcPr>
            <w:tcW w:w="697" w:type="pct"/>
            <w:vMerge w:val="restart"/>
            <w:tcMar>
              <w:top w:w="0" w:type="dxa"/>
              <w:left w:w="108" w:type="dxa"/>
              <w:bottom w:w="0" w:type="dxa"/>
              <w:right w:w="108" w:type="dxa"/>
            </w:tcMar>
            <w:vAlign w:val="center"/>
          </w:tcPr>
          <w:p w:rsidR="00841C40" w:rsidRPr="001E57EA" w:rsidRDefault="00841C40" w:rsidP="00F7078C">
            <w:pPr>
              <w:spacing w:before="40" w:after="40"/>
              <w:rPr>
                <w:rFonts w:ascii="Arial" w:hAnsi="Arial"/>
                <w:sz w:val="16"/>
                <w:szCs w:val="16"/>
                <w:lang w:val="bs-Latn-BA"/>
              </w:rPr>
            </w:pPr>
            <w:r w:rsidRPr="001E57EA">
              <w:rPr>
                <w:rFonts w:ascii="Arial" w:hAnsi="Arial"/>
                <w:sz w:val="16"/>
                <w:szCs w:val="16"/>
                <w:lang w:val="bs-Latn-BA"/>
              </w:rPr>
              <w:t>Poboljšati efikasnost rada službenih lica u slučajevima nasilja u porodici</w:t>
            </w:r>
          </w:p>
        </w:tc>
        <w:tc>
          <w:tcPr>
            <w:tcW w:w="1760" w:type="pct"/>
            <w:shd w:val="clear" w:color="auto" w:fill="D9E2F3"/>
            <w:tcMar>
              <w:top w:w="0" w:type="dxa"/>
              <w:left w:w="108" w:type="dxa"/>
              <w:bottom w:w="0" w:type="dxa"/>
              <w:right w:w="108" w:type="dxa"/>
            </w:tcMar>
            <w:vAlign w:val="center"/>
            <w:hideMark/>
          </w:tcPr>
          <w:p w:rsidR="00841C40" w:rsidRPr="001E57EA" w:rsidRDefault="00841C40" w:rsidP="00F7078C">
            <w:pPr>
              <w:spacing w:before="40" w:after="40"/>
              <w:jc w:val="center"/>
              <w:rPr>
                <w:rFonts w:ascii="Arial" w:hAnsi="Arial"/>
                <w:sz w:val="16"/>
                <w:szCs w:val="16"/>
                <w:lang w:val="bs-Latn-BA"/>
              </w:rPr>
            </w:pPr>
            <w:r w:rsidRPr="001E57EA">
              <w:rPr>
                <w:rFonts w:ascii="Arial" w:hAnsi="Arial"/>
                <w:sz w:val="16"/>
                <w:szCs w:val="16"/>
                <w:lang w:val="bs-Latn-BA"/>
              </w:rPr>
              <w:t>Indikatori mjere</w:t>
            </w:r>
          </w:p>
        </w:tc>
        <w:tc>
          <w:tcPr>
            <w:tcW w:w="944" w:type="pct"/>
            <w:shd w:val="clear" w:color="auto" w:fill="D9E2F3"/>
            <w:tcMar>
              <w:top w:w="0" w:type="dxa"/>
              <w:left w:w="108" w:type="dxa"/>
              <w:bottom w:w="0" w:type="dxa"/>
              <w:right w:w="108" w:type="dxa"/>
            </w:tcMar>
            <w:vAlign w:val="center"/>
            <w:hideMark/>
          </w:tcPr>
          <w:p w:rsidR="00841C40" w:rsidRPr="001E57EA" w:rsidRDefault="00841C40" w:rsidP="00841C40">
            <w:pPr>
              <w:spacing w:before="40" w:after="40"/>
              <w:jc w:val="center"/>
              <w:rPr>
                <w:rFonts w:ascii="Arial" w:hAnsi="Arial"/>
                <w:sz w:val="16"/>
                <w:szCs w:val="16"/>
                <w:lang w:val="bs-Latn-BA"/>
              </w:rPr>
            </w:pPr>
            <w:r w:rsidRPr="001E57EA">
              <w:rPr>
                <w:rFonts w:ascii="Arial" w:hAnsi="Arial"/>
                <w:sz w:val="16"/>
                <w:szCs w:val="16"/>
                <w:lang w:val="bs-Latn-BA"/>
              </w:rPr>
              <w:t>Polazne vrijednosti indikatora</w:t>
            </w:r>
          </w:p>
        </w:tc>
        <w:tc>
          <w:tcPr>
            <w:tcW w:w="835" w:type="pct"/>
            <w:shd w:val="clear" w:color="auto" w:fill="D9E2F3"/>
            <w:vAlign w:val="center"/>
          </w:tcPr>
          <w:p w:rsidR="00841C40" w:rsidRPr="001E57EA" w:rsidRDefault="00841C40" w:rsidP="00841C40">
            <w:pPr>
              <w:spacing w:before="40" w:after="40"/>
              <w:jc w:val="center"/>
              <w:rPr>
                <w:rFonts w:ascii="Arial" w:hAnsi="Arial"/>
                <w:sz w:val="16"/>
                <w:szCs w:val="16"/>
                <w:lang w:val="bs-Latn-BA"/>
              </w:rPr>
            </w:pPr>
            <w:r w:rsidRPr="001E57EA">
              <w:rPr>
                <w:rFonts w:ascii="Arial" w:hAnsi="Arial"/>
                <w:sz w:val="16"/>
                <w:szCs w:val="16"/>
                <w:lang w:val="bs-Latn-BA"/>
              </w:rPr>
              <w:t>Ciljne vrijednosti</w:t>
            </w:r>
          </w:p>
        </w:tc>
      </w:tr>
      <w:tr w:rsidR="001E57EA" w:rsidRPr="001E57EA" w:rsidTr="00805D8D">
        <w:trPr>
          <w:trHeight w:val="149"/>
          <w:jc w:val="center"/>
        </w:trPr>
        <w:tc>
          <w:tcPr>
            <w:tcW w:w="764" w:type="pct"/>
            <w:vMerge/>
            <w:vAlign w:val="center"/>
            <w:hideMark/>
          </w:tcPr>
          <w:p w:rsidR="000C2B6C" w:rsidRPr="001E57EA" w:rsidRDefault="000C2B6C" w:rsidP="00F860E3">
            <w:pPr>
              <w:spacing w:before="40" w:after="40"/>
              <w:rPr>
                <w:rFonts w:ascii="Arial" w:hAnsi="Arial"/>
                <w:b/>
                <w:bCs/>
                <w:sz w:val="16"/>
                <w:szCs w:val="16"/>
              </w:rPr>
            </w:pPr>
          </w:p>
        </w:tc>
        <w:tc>
          <w:tcPr>
            <w:tcW w:w="697" w:type="pct"/>
            <w:vMerge/>
            <w:vAlign w:val="center"/>
            <w:hideMark/>
          </w:tcPr>
          <w:p w:rsidR="000C2B6C" w:rsidRPr="001E57EA" w:rsidRDefault="000C2B6C" w:rsidP="00F860E3">
            <w:pPr>
              <w:spacing w:before="40" w:after="40"/>
              <w:rPr>
                <w:rFonts w:ascii="Arial" w:hAnsi="Arial"/>
                <w:sz w:val="16"/>
                <w:szCs w:val="16"/>
              </w:rPr>
            </w:pPr>
          </w:p>
        </w:tc>
        <w:tc>
          <w:tcPr>
            <w:tcW w:w="1760" w:type="pct"/>
            <w:tcMar>
              <w:top w:w="0" w:type="dxa"/>
              <w:left w:w="108" w:type="dxa"/>
              <w:bottom w:w="0" w:type="dxa"/>
              <w:right w:w="108" w:type="dxa"/>
            </w:tcMar>
          </w:tcPr>
          <w:p w:rsidR="000C2B6C" w:rsidRPr="001E57EA" w:rsidRDefault="000C2B6C" w:rsidP="00F860E3">
            <w:pPr>
              <w:spacing w:before="40" w:after="40"/>
              <w:rPr>
                <w:rFonts w:ascii="Arial" w:hAnsi="Arial"/>
                <w:sz w:val="16"/>
                <w:szCs w:val="16"/>
                <w:lang w:val="bs-Latn-BA"/>
              </w:rPr>
            </w:pPr>
            <w:r w:rsidRPr="001E57EA">
              <w:rPr>
                <w:rFonts w:ascii="Arial" w:hAnsi="Arial"/>
                <w:sz w:val="16"/>
                <w:szCs w:val="16"/>
              </w:rPr>
              <w:t>% slučajeva nasilja koje žrtve ne prijavljuju</w:t>
            </w:r>
          </w:p>
        </w:tc>
        <w:tc>
          <w:tcPr>
            <w:tcW w:w="944" w:type="pct"/>
            <w:tcMar>
              <w:top w:w="0" w:type="dxa"/>
              <w:left w:w="108" w:type="dxa"/>
              <w:bottom w:w="0" w:type="dxa"/>
              <w:right w:w="108" w:type="dxa"/>
            </w:tcMar>
            <w:vAlign w:val="center"/>
          </w:tcPr>
          <w:p w:rsidR="000C2B6C" w:rsidRPr="001E57EA" w:rsidRDefault="000C2B6C" w:rsidP="002B1FB2">
            <w:pPr>
              <w:spacing w:before="40" w:after="40"/>
              <w:jc w:val="center"/>
              <w:rPr>
                <w:rFonts w:ascii="Arial" w:hAnsi="Arial"/>
                <w:sz w:val="16"/>
                <w:szCs w:val="16"/>
                <w:lang w:val="bs-Latn-BA"/>
              </w:rPr>
            </w:pPr>
            <w:r w:rsidRPr="001E57EA">
              <w:rPr>
                <w:rFonts w:ascii="Arial" w:hAnsi="Arial"/>
                <w:sz w:val="16"/>
              </w:rPr>
              <w:t>70,3% (2018)</w:t>
            </w:r>
          </w:p>
        </w:tc>
        <w:tc>
          <w:tcPr>
            <w:tcW w:w="835" w:type="pct"/>
            <w:vAlign w:val="center"/>
          </w:tcPr>
          <w:p w:rsidR="000C2B6C" w:rsidRPr="001E57EA" w:rsidRDefault="000C2B6C" w:rsidP="002B1FB2">
            <w:pPr>
              <w:spacing w:before="40" w:after="40"/>
              <w:jc w:val="center"/>
              <w:rPr>
                <w:rFonts w:ascii="Arial" w:hAnsi="Arial"/>
                <w:sz w:val="16"/>
                <w:szCs w:val="16"/>
                <w:lang w:val="bs-Latn-BA"/>
              </w:rPr>
            </w:pPr>
            <w:r w:rsidRPr="001E57EA">
              <w:rPr>
                <w:rFonts w:ascii="Arial" w:hAnsi="Arial"/>
                <w:sz w:val="16"/>
              </w:rPr>
              <w:t>10% (2027)</w:t>
            </w:r>
          </w:p>
        </w:tc>
      </w:tr>
      <w:tr w:rsidR="001E57EA" w:rsidRPr="001E57EA" w:rsidTr="00805D8D">
        <w:trPr>
          <w:trHeight w:val="485"/>
          <w:jc w:val="center"/>
        </w:trPr>
        <w:tc>
          <w:tcPr>
            <w:tcW w:w="764" w:type="pct"/>
            <w:vMerge/>
            <w:vAlign w:val="center"/>
          </w:tcPr>
          <w:p w:rsidR="00F860E3" w:rsidRPr="001E57EA" w:rsidRDefault="00F860E3" w:rsidP="00F860E3">
            <w:pPr>
              <w:spacing w:before="40" w:after="40"/>
              <w:rPr>
                <w:rFonts w:ascii="Arial" w:hAnsi="Arial"/>
                <w:b/>
                <w:bCs/>
                <w:sz w:val="16"/>
                <w:szCs w:val="16"/>
              </w:rPr>
            </w:pPr>
          </w:p>
        </w:tc>
        <w:tc>
          <w:tcPr>
            <w:tcW w:w="697" w:type="pct"/>
            <w:vMerge/>
            <w:vAlign w:val="center"/>
          </w:tcPr>
          <w:p w:rsidR="00F860E3" w:rsidRPr="001E57EA" w:rsidRDefault="00F860E3" w:rsidP="00F860E3">
            <w:pPr>
              <w:spacing w:before="40" w:after="40"/>
              <w:rPr>
                <w:rFonts w:ascii="Arial" w:hAnsi="Arial"/>
                <w:sz w:val="16"/>
                <w:szCs w:val="16"/>
              </w:rPr>
            </w:pPr>
          </w:p>
        </w:tc>
        <w:tc>
          <w:tcPr>
            <w:tcW w:w="1760" w:type="pct"/>
            <w:tcMar>
              <w:top w:w="0" w:type="dxa"/>
              <w:left w:w="108" w:type="dxa"/>
              <w:bottom w:w="0" w:type="dxa"/>
              <w:right w:w="108" w:type="dxa"/>
            </w:tcMar>
          </w:tcPr>
          <w:p w:rsidR="00F860E3" w:rsidRPr="001E57EA" w:rsidRDefault="00F860E3" w:rsidP="00F860E3">
            <w:pPr>
              <w:spacing w:before="40" w:after="40"/>
              <w:rPr>
                <w:rFonts w:ascii="Arial" w:hAnsi="Arial"/>
                <w:sz w:val="16"/>
                <w:szCs w:val="16"/>
                <w:lang w:val="bs-Latn-BA"/>
              </w:rPr>
            </w:pPr>
            <w:r w:rsidRPr="001E57EA">
              <w:rPr>
                <w:rFonts w:ascii="Arial" w:hAnsi="Arial"/>
                <w:sz w:val="16"/>
                <w:szCs w:val="16"/>
              </w:rPr>
              <w:t>% educiranih sudija i tužilaca koji rade na poslovima nasilja u porodici</w:t>
            </w:r>
          </w:p>
        </w:tc>
        <w:tc>
          <w:tcPr>
            <w:tcW w:w="944" w:type="pct"/>
            <w:tcMar>
              <w:top w:w="0" w:type="dxa"/>
              <w:left w:w="108" w:type="dxa"/>
              <w:bottom w:w="0" w:type="dxa"/>
              <w:right w:w="108" w:type="dxa"/>
            </w:tcMar>
            <w:vAlign w:val="center"/>
          </w:tcPr>
          <w:p w:rsidR="00F860E3" w:rsidRPr="001E57EA" w:rsidRDefault="00F860E3" w:rsidP="002B1FB2">
            <w:pPr>
              <w:spacing w:before="40" w:after="40"/>
              <w:jc w:val="center"/>
              <w:rPr>
                <w:rFonts w:ascii="Arial" w:hAnsi="Arial"/>
                <w:sz w:val="16"/>
                <w:szCs w:val="16"/>
                <w:lang w:val="bs-Latn-BA"/>
              </w:rPr>
            </w:pPr>
            <w:r w:rsidRPr="001E57EA">
              <w:rPr>
                <w:rFonts w:ascii="Arial" w:hAnsi="Arial"/>
                <w:sz w:val="16"/>
              </w:rPr>
              <w:t>Nema podataka</w:t>
            </w:r>
          </w:p>
        </w:tc>
        <w:tc>
          <w:tcPr>
            <w:tcW w:w="835" w:type="pct"/>
            <w:vAlign w:val="center"/>
          </w:tcPr>
          <w:p w:rsidR="00F860E3" w:rsidRPr="001E57EA" w:rsidRDefault="00F860E3" w:rsidP="002B1FB2">
            <w:pPr>
              <w:spacing w:before="40" w:after="40"/>
              <w:jc w:val="center"/>
              <w:rPr>
                <w:rFonts w:ascii="Arial" w:hAnsi="Arial"/>
                <w:sz w:val="16"/>
                <w:szCs w:val="16"/>
                <w:highlight w:val="yellow"/>
                <w:lang w:val="bs-Latn-BA"/>
              </w:rPr>
            </w:pPr>
            <w:r w:rsidRPr="001E57EA">
              <w:rPr>
                <w:rFonts w:ascii="Arial" w:hAnsi="Arial"/>
                <w:sz w:val="16"/>
              </w:rPr>
              <w:t>90% (2027)</w:t>
            </w:r>
          </w:p>
        </w:tc>
      </w:tr>
      <w:tr w:rsidR="001E57EA" w:rsidRPr="001E57EA" w:rsidTr="00805D8D">
        <w:trPr>
          <w:trHeight w:val="476"/>
          <w:jc w:val="center"/>
        </w:trPr>
        <w:tc>
          <w:tcPr>
            <w:tcW w:w="764" w:type="pct"/>
            <w:vMerge/>
            <w:vAlign w:val="center"/>
          </w:tcPr>
          <w:p w:rsidR="00F860E3" w:rsidRPr="001E57EA" w:rsidRDefault="00F860E3" w:rsidP="00F860E3">
            <w:pPr>
              <w:spacing w:before="40" w:after="40"/>
              <w:rPr>
                <w:rFonts w:ascii="Arial" w:hAnsi="Arial"/>
                <w:b/>
                <w:bCs/>
                <w:sz w:val="16"/>
                <w:szCs w:val="16"/>
              </w:rPr>
            </w:pPr>
          </w:p>
        </w:tc>
        <w:tc>
          <w:tcPr>
            <w:tcW w:w="697" w:type="pct"/>
            <w:vMerge/>
            <w:vAlign w:val="center"/>
          </w:tcPr>
          <w:p w:rsidR="00F860E3" w:rsidRPr="001E57EA" w:rsidRDefault="00F860E3" w:rsidP="00F860E3">
            <w:pPr>
              <w:spacing w:before="40" w:after="40"/>
              <w:rPr>
                <w:rFonts w:ascii="Arial" w:hAnsi="Arial"/>
                <w:sz w:val="16"/>
                <w:szCs w:val="16"/>
              </w:rPr>
            </w:pPr>
          </w:p>
        </w:tc>
        <w:tc>
          <w:tcPr>
            <w:tcW w:w="1760" w:type="pct"/>
            <w:tcMar>
              <w:top w:w="0" w:type="dxa"/>
              <w:left w:w="108" w:type="dxa"/>
              <w:bottom w:w="0" w:type="dxa"/>
              <w:right w:w="108" w:type="dxa"/>
            </w:tcMar>
          </w:tcPr>
          <w:p w:rsidR="00F860E3" w:rsidRPr="001E57EA" w:rsidRDefault="00F860E3" w:rsidP="00F860E3">
            <w:pPr>
              <w:spacing w:before="40" w:after="40"/>
              <w:rPr>
                <w:rFonts w:ascii="Arial" w:hAnsi="Arial"/>
                <w:sz w:val="16"/>
                <w:szCs w:val="16"/>
                <w:lang w:val="bs-Latn-BA"/>
              </w:rPr>
            </w:pPr>
            <w:r w:rsidRPr="001E57EA">
              <w:rPr>
                <w:rFonts w:ascii="Arial" w:hAnsi="Arial"/>
                <w:sz w:val="16"/>
                <w:szCs w:val="16"/>
              </w:rPr>
              <w:t>% educiranih policijskih službenika koji rade na poslovima nasilja u porodici</w:t>
            </w:r>
          </w:p>
        </w:tc>
        <w:tc>
          <w:tcPr>
            <w:tcW w:w="944" w:type="pct"/>
            <w:tcMar>
              <w:top w:w="0" w:type="dxa"/>
              <w:left w:w="108" w:type="dxa"/>
              <w:bottom w:w="0" w:type="dxa"/>
              <w:right w:w="108" w:type="dxa"/>
            </w:tcMar>
            <w:vAlign w:val="center"/>
          </w:tcPr>
          <w:p w:rsidR="00F860E3" w:rsidRPr="001E57EA" w:rsidRDefault="00F860E3" w:rsidP="002B1FB2">
            <w:pPr>
              <w:spacing w:before="40" w:after="40"/>
              <w:jc w:val="center"/>
              <w:rPr>
                <w:rFonts w:ascii="Arial" w:hAnsi="Arial"/>
                <w:sz w:val="16"/>
                <w:szCs w:val="16"/>
                <w:lang w:val="bs-Latn-BA"/>
              </w:rPr>
            </w:pPr>
            <w:r w:rsidRPr="001E57EA">
              <w:rPr>
                <w:rFonts w:ascii="Arial" w:hAnsi="Arial"/>
                <w:sz w:val="16"/>
              </w:rPr>
              <w:t>Nema podataka</w:t>
            </w:r>
          </w:p>
        </w:tc>
        <w:tc>
          <w:tcPr>
            <w:tcW w:w="835" w:type="pct"/>
            <w:vAlign w:val="center"/>
          </w:tcPr>
          <w:p w:rsidR="00F860E3" w:rsidRPr="001E57EA" w:rsidRDefault="00F860E3" w:rsidP="002B1FB2">
            <w:pPr>
              <w:spacing w:before="40" w:after="40"/>
              <w:jc w:val="center"/>
              <w:rPr>
                <w:rFonts w:ascii="Arial" w:hAnsi="Arial"/>
                <w:sz w:val="16"/>
                <w:szCs w:val="16"/>
                <w:highlight w:val="yellow"/>
                <w:lang w:val="bs-Latn-BA"/>
              </w:rPr>
            </w:pPr>
            <w:r w:rsidRPr="001E57EA">
              <w:rPr>
                <w:rFonts w:ascii="Arial" w:hAnsi="Arial"/>
                <w:sz w:val="16"/>
              </w:rPr>
              <w:t>90% (2027)</w:t>
            </w:r>
          </w:p>
        </w:tc>
      </w:tr>
      <w:tr w:rsidR="001E57EA" w:rsidRPr="001E57EA" w:rsidTr="00805D8D">
        <w:trPr>
          <w:trHeight w:val="485"/>
          <w:jc w:val="center"/>
        </w:trPr>
        <w:tc>
          <w:tcPr>
            <w:tcW w:w="764" w:type="pct"/>
            <w:vMerge/>
            <w:vAlign w:val="center"/>
            <w:hideMark/>
          </w:tcPr>
          <w:p w:rsidR="00841C40" w:rsidRPr="001E57EA" w:rsidRDefault="00841C40" w:rsidP="00F7078C">
            <w:pPr>
              <w:spacing w:before="40" w:after="40"/>
              <w:rPr>
                <w:rFonts w:ascii="Arial" w:hAnsi="Arial"/>
                <w:b/>
                <w:bCs/>
                <w:sz w:val="16"/>
                <w:szCs w:val="16"/>
              </w:rPr>
            </w:pPr>
          </w:p>
        </w:tc>
        <w:tc>
          <w:tcPr>
            <w:tcW w:w="697" w:type="pct"/>
            <w:vMerge/>
            <w:vAlign w:val="center"/>
            <w:hideMark/>
          </w:tcPr>
          <w:p w:rsidR="00841C40" w:rsidRPr="001E57EA" w:rsidRDefault="00841C40" w:rsidP="00F7078C">
            <w:pPr>
              <w:spacing w:before="40" w:after="40"/>
              <w:rPr>
                <w:rFonts w:ascii="Arial" w:hAnsi="Arial"/>
                <w:sz w:val="16"/>
                <w:szCs w:val="16"/>
              </w:rPr>
            </w:pPr>
          </w:p>
        </w:tc>
        <w:tc>
          <w:tcPr>
            <w:tcW w:w="1760" w:type="pct"/>
            <w:shd w:val="clear" w:color="auto" w:fill="D9E2F3"/>
            <w:tcMar>
              <w:top w:w="0" w:type="dxa"/>
              <w:left w:w="108" w:type="dxa"/>
              <w:bottom w:w="0" w:type="dxa"/>
              <w:right w:w="108" w:type="dxa"/>
            </w:tcMar>
            <w:vAlign w:val="center"/>
            <w:hideMark/>
          </w:tcPr>
          <w:p w:rsidR="00841C40" w:rsidRPr="001E57EA" w:rsidRDefault="00841C40" w:rsidP="00F7078C">
            <w:pPr>
              <w:spacing w:before="40" w:after="40"/>
              <w:jc w:val="center"/>
              <w:rPr>
                <w:rFonts w:ascii="Arial" w:hAnsi="Arial"/>
                <w:sz w:val="16"/>
                <w:szCs w:val="16"/>
                <w:lang w:val="bs-Latn-BA"/>
              </w:rPr>
            </w:pPr>
            <w:r w:rsidRPr="001E57EA">
              <w:rPr>
                <w:rFonts w:ascii="Arial" w:hAnsi="Arial"/>
                <w:sz w:val="16"/>
                <w:szCs w:val="16"/>
                <w:lang w:val="bs-Latn-BA"/>
              </w:rPr>
              <w:t>Budžet (KM)</w:t>
            </w:r>
          </w:p>
        </w:tc>
        <w:tc>
          <w:tcPr>
            <w:tcW w:w="944" w:type="pct"/>
            <w:shd w:val="clear" w:color="auto" w:fill="D9E2F3"/>
            <w:tcMar>
              <w:top w:w="0" w:type="dxa"/>
              <w:left w:w="108" w:type="dxa"/>
              <w:bottom w:w="0" w:type="dxa"/>
              <w:right w:w="108" w:type="dxa"/>
            </w:tcMar>
            <w:vAlign w:val="center"/>
            <w:hideMark/>
          </w:tcPr>
          <w:p w:rsidR="00841C40" w:rsidRPr="001E57EA" w:rsidRDefault="00841C40" w:rsidP="00841C40">
            <w:pPr>
              <w:spacing w:before="40" w:after="40"/>
              <w:jc w:val="center"/>
              <w:rPr>
                <w:rFonts w:ascii="Arial" w:hAnsi="Arial"/>
                <w:sz w:val="16"/>
                <w:szCs w:val="16"/>
                <w:lang w:val="bs-Latn-BA"/>
              </w:rPr>
            </w:pPr>
            <w:r w:rsidRPr="001E57EA">
              <w:rPr>
                <w:rFonts w:ascii="Arial" w:hAnsi="Arial"/>
                <w:sz w:val="16"/>
                <w:szCs w:val="16"/>
                <w:lang w:val="bs-Latn-BA"/>
              </w:rPr>
              <w:t>Ostali izvori (KM)</w:t>
            </w:r>
          </w:p>
        </w:tc>
        <w:tc>
          <w:tcPr>
            <w:tcW w:w="835" w:type="pct"/>
            <w:shd w:val="clear" w:color="auto" w:fill="D9E2F3"/>
            <w:tcMar>
              <w:top w:w="0" w:type="dxa"/>
              <w:left w:w="108" w:type="dxa"/>
              <w:bottom w:w="0" w:type="dxa"/>
              <w:right w:w="108" w:type="dxa"/>
            </w:tcMar>
            <w:vAlign w:val="center"/>
            <w:hideMark/>
          </w:tcPr>
          <w:p w:rsidR="00841C40" w:rsidRPr="001E57EA" w:rsidRDefault="00841C40" w:rsidP="00841C40">
            <w:pPr>
              <w:spacing w:before="40" w:after="40"/>
              <w:jc w:val="center"/>
              <w:rPr>
                <w:rFonts w:ascii="Arial" w:hAnsi="Arial"/>
                <w:sz w:val="16"/>
                <w:szCs w:val="16"/>
                <w:lang w:val="bs-Latn-BA"/>
              </w:rPr>
            </w:pPr>
            <w:r w:rsidRPr="001E57EA">
              <w:rPr>
                <w:rFonts w:ascii="Arial" w:hAnsi="Arial"/>
                <w:sz w:val="16"/>
                <w:szCs w:val="16"/>
                <w:lang w:val="bs-Latn-BA"/>
              </w:rPr>
              <w:t>Ukupno (KM)</w:t>
            </w:r>
          </w:p>
        </w:tc>
      </w:tr>
      <w:tr w:rsidR="00841C40" w:rsidRPr="001E57EA" w:rsidTr="00805D8D">
        <w:trPr>
          <w:trHeight w:val="485"/>
          <w:jc w:val="center"/>
        </w:trPr>
        <w:tc>
          <w:tcPr>
            <w:tcW w:w="764" w:type="pct"/>
            <w:vMerge/>
            <w:vAlign w:val="center"/>
            <w:hideMark/>
          </w:tcPr>
          <w:p w:rsidR="00841C40" w:rsidRPr="001E57EA" w:rsidRDefault="00841C40" w:rsidP="00F7078C">
            <w:pPr>
              <w:spacing w:before="40" w:after="40"/>
              <w:rPr>
                <w:rFonts w:ascii="Arial" w:hAnsi="Arial"/>
                <w:b/>
                <w:bCs/>
                <w:sz w:val="16"/>
                <w:szCs w:val="16"/>
              </w:rPr>
            </w:pPr>
          </w:p>
        </w:tc>
        <w:tc>
          <w:tcPr>
            <w:tcW w:w="697" w:type="pct"/>
            <w:vMerge/>
            <w:vAlign w:val="center"/>
            <w:hideMark/>
          </w:tcPr>
          <w:p w:rsidR="00841C40" w:rsidRPr="001E57EA" w:rsidRDefault="00841C40" w:rsidP="00F7078C">
            <w:pPr>
              <w:spacing w:before="40" w:after="40"/>
              <w:rPr>
                <w:rFonts w:ascii="Arial" w:hAnsi="Arial"/>
                <w:sz w:val="16"/>
                <w:szCs w:val="16"/>
              </w:rPr>
            </w:pPr>
          </w:p>
        </w:tc>
        <w:tc>
          <w:tcPr>
            <w:tcW w:w="1760" w:type="pct"/>
            <w:tcMar>
              <w:top w:w="0" w:type="dxa"/>
              <w:left w:w="108" w:type="dxa"/>
              <w:bottom w:w="0" w:type="dxa"/>
              <w:right w:w="108" w:type="dxa"/>
            </w:tcMar>
            <w:vAlign w:val="center"/>
          </w:tcPr>
          <w:p w:rsidR="00841C40" w:rsidRPr="001E57EA" w:rsidRDefault="00634AC2" w:rsidP="00F7078C">
            <w:pPr>
              <w:spacing w:before="40" w:after="40"/>
              <w:rPr>
                <w:rFonts w:ascii="Arial" w:hAnsi="Arial"/>
                <w:sz w:val="16"/>
                <w:szCs w:val="16"/>
              </w:rPr>
            </w:pPr>
            <w:r w:rsidRPr="001E57EA">
              <w:rPr>
                <w:rFonts w:ascii="Arial" w:hAnsi="Arial"/>
                <w:sz w:val="16"/>
                <w:szCs w:val="16"/>
              </w:rPr>
              <w:t>1.550.000</w:t>
            </w:r>
          </w:p>
        </w:tc>
        <w:tc>
          <w:tcPr>
            <w:tcW w:w="944" w:type="pct"/>
            <w:tcMar>
              <w:top w:w="0" w:type="dxa"/>
              <w:left w:w="108" w:type="dxa"/>
              <w:bottom w:w="0" w:type="dxa"/>
              <w:right w:w="108" w:type="dxa"/>
            </w:tcMar>
            <w:vAlign w:val="center"/>
          </w:tcPr>
          <w:p w:rsidR="00841C40" w:rsidRPr="001E57EA" w:rsidRDefault="00634AC2" w:rsidP="00841C40">
            <w:pPr>
              <w:spacing w:before="40" w:after="40"/>
              <w:jc w:val="center"/>
              <w:rPr>
                <w:rFonts w:ascii="Arial" w:hAnsi="Arial"/>
                <w:sz w:val="16"/>
                <w:szCs w:val="16"/>
              </w:rPr>
            </w:pPr>
            <w:r w:rsidRPr="001E57EA">
              <w:rPr>
                <w:rFonts w:ascii="Arial" w:hAnsi="Arial"/>
                <w:sz w:val="16"/>
                <w:szCs w:val="16"/>
              </w:rPr>
              <w:t>740.000</w:t>
            </w:r>
          </w:p>
        </w:tc>
        <w:tc>
          <w:tcPr>
            <w:tcW w:w="835" w:type="pct"/>
            <w:tcMar>
              <w:top w:w="0" w:type="dxa"/>
              <w:left w:w="108" w:type="dxa"/>
              <w:bottom w:w="0" w:type="dxa"/>
              <w:right w:w="108" w:type="dxa"/>
            </w:tcMar>
            <w:vAlign w:val="center"/>
          </w:tcPr>
          <w:p w:rsidR="00841C40" w:rsidRPr="001E57EA" w:rsidRDefault="00634AC2" w:rsidP="00841C40">
            <w:pPr>
              <w:spacing w:before="40" w:after="40"/>
              <w:jc w:val="center"/>
              <w:rPr>
                <w:rFonts w:ascii="Arial" w:hAnsi="Arial"/>
                <w:sz w:val="16"/>
                <w:szCs w:val="16"/>
              </w:rPr>
            </w:pPr>
            <w:r w:rsidRPr="001E57EA">
              <w:rPr>
                <w:rFonts w:ascii="Arial" w:hAnsi="Arial"/>
                <w:sz w:val="16"/>
                <w:szCs w:val="16"/>
              </w:rPr>
              <w:t>2.290.000</w:t>
            </w:r>
          </w:p>
        </w:tc>
      </w:tr>
    </w:tbl>
    <w:p w:rsidR="00432FB6" w:rsidRPr="001E57EA" w:rsidRDefault="00432FB6" w:rsidP="005B3B9E">
      <w:pPr>
        <w:jc w:val="both"/>
        <w:rPr>
          <w:rFonts w:ascii="Arial" w:hAnsi="Arial"/>
          <w:lang w:val="bs-Latn-BA"/>
        </w:rPr>
      </w:pPr>
    </w:p>
    <w:p w:rsidR="00805D8D" w:rsidRDefault="00805D8D">
      <w:pPr>
        <w:spacing w:after="0"/>
        <w:rPr>
          <w:rFonts w:ascii="Arial" w:eastAsia="Times New Roman" w:hAnsi="Arial" w:cs="Times New Roman"/>
          <w:b/>
          <w:sz w:val="44"/>
          <w:szCs w:val="32"/>
          <w:lang w:val="bs-Latn-BA"/>
        </w:rPr>
      </w:pPr>
      <w:bookmarkStart w:id="39" w:name="_Toc145323835"/>
      <w:r>
        <w:br w:type="page"/>
      </w:r>
    </w:p>
    <w:p w:rsidR="00894181" w:rsidRPr="001E57EA" w:rsidRDefault="00432FB6" w:rsidP="00390729">
      <w:pPr>
        <w:pStyle w:val="1naslov"/>
        <w:rPr>
          <w:color w:val="auto"/>
        </w:rPr>
      </w:pPr>
      <w:r w:rsidRPr="001E57EA">
        <w:rPr>
          <w:color w:val="auto"/>
        </w:rPr>
        <w:lastRenderedPageBreak/>
        <w:t>Sažeti pregled mjera</w:t>
      </w:r>
      <w:bookmarkEnd w:id="39"/>
    </w:p>
    <w:p w:rsidR="00894181" w:rsidRPr="001E57EA" w:rsidRDefault="00894181">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1E57EA"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rPr>
                <w:rFonts w:ascii="Arial" w:hAnsi="Arial"/>
                <w:b/>
                <w:sz w:val="16"/>
                <w:szCs w:val="16"/>
                <w:lang w:val="hr-HR"/>
              </w:rPr>
            </w:pPr>
            <w:r w:rsidRPr="001E57EA">
              <w:rPr>
                <w:rFonts w:ascii="Arial" w:hAnsi="Arial"/>
                <w:b/>
                <w:sz w:val="16"/>
                <w:szCs w:val="16"/>
                <w:lang w:val="bs-Latn-BA"/>
              </w:rPr>
              <w:t>1.1.</w:t>
            </w:r>
            <w:r w:rsidRPr="001E57EA">
              <w:rPr>
                <w:rFonts w:ascii="Arial" w:hAnsi="Arial"/>
                <w:sz w:val="16"/>
                <w:szCs w:val="16"/>
                <w:lang w:val="bs-Latn-BA"/>
              </w:rPr>
              <w:t xml:space="preserve"> Poboljšati sistemsku prevenciju nasilja u porodici</w:t>
            </w:r>
          </w:p>
        </w:tc>
      </w:tr>
      <w:tr w:rsidR="001E57EA" w:rsidRPr="001E57EA"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6479F0">
            <w:pPr>
              <w:spacing w:before="40" w:after="40"/>
              <w:rPr>
                <w:rFonts w:ascii="Arial" w:hAnsi="Arial"/>
                <w:b/>
                <w:sz w:val="16"/>
                <w:szCs w:val="16"/>
                <w:lang w:val="hr-HR"/>
              </w:rPr>
            </w:pPr>
            <w:r w:rsidRPr="001E57EA">
              <w:rPr>
                <w:rFonts w:ascii="Arial" w:hAnsi="Arial"/>
                <w:b/>
                <w:sz w:val="16"/>
                <w:szCs w:val="16"/>
                <w:lang w:val="hr-HR"/>
              </w:rPr>
              <w:t>1.1.1.</w:t>
            </w:r>
            <w:r w:rsidRPr="001E57EA">
              <w:rPr>
                <w:rFonts w:ascii="Arial" w:hAnsi="Arial"/>
                <w:sz w:val="16"/>
                <w:szCs w:val="16"/>
                <w:lang w:val="bs-Latn-BA"/>
              </w:rPr>
              <w:t xml:space="preserve"> Promocija tolerancije, nenasilja i rodne ravnopravnost u porodici i društvu</w:t>
            </w:r>
          </w:p>
        </w:tc>
      </w:tr>
      <w:tr w:rsidR="001E57EA" w:rsidRPr="00F35483"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D20C86" w:rsidP="006479F0">
            <w:pPr>
              <w:spacing w:before="40" w:after="40"/>
              <w:jc w:val="both"/>
              <w:rPr>
                <w:rFonts w:ascii="Arial" w:hAnsi="Arial"/>
                <w:sz w:val="16"/>
                <w:szCs w:val="16"/>
                <w:lang w:val="hr-HR"/>
              </w:rPr>
            </w:pPr>
            <w:r w:rsidRPr="001E57EA">
              <w:rPr>
                <w:rFonts w:ascii="Arial" w:hAnsi="Arial"/>
                <w:sz w:val="16"/>
                <w:szCs w:val="16"/>
                <w:lang w:val="hr-HR"/>
              </w:rPr>
              <w:t>Povećati svijest građana, kao i profesionalaca o nasilu u porodici, njegovim uzrocima, posljedicama i faktorima rizika.</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894181" w:rsidRPr="001E57EA" w:rsidRDefault="00894181"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894181" w:rsidRPr="001E57EA" w:rsidRDefault="00894181"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894181" w:rsidRPr="001E57EA" w:rsidRDefault="00894181" w:rsidP="00894181">
            <w:pPr>
              <w:spacing w:before="40" w:after="40"/>
              <w:rPr>
                <w:rFonts w:ascii="Arial" w:hAnsi="Arial"/>
                <w:sz w:val="16"/>
                <w:szCs w:val="16"/>
                <w:lang w:val="bs-Latn-BA"/>
              </w:rPr>
            </w:pPr>
            <w:r w:rsidRPr="001E57EA">
              <w:rPr>
                <w:rFonts w:ascii="Arial" w:hAnsi="Arial"/>
                <w:sz w:val="16"/>
                <w:szCs w:val="16"/>
              </w:rPr>
              <w:t>% žena žrtava nasilja u porodici</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jc w:val="center"/>
              <w:rPr>
                <w:rFonts w:ascii="Arial" w:hAnsi="Arial"/>
                <w:sz w:val="16"/>
                <w:szCs w:val="16"/>
                <w:lang w:val="bs-Latn-BA"/>
              </w:rPr>
            </w:pPr>
            <w:r w:rsidRPr="001E57EA">
              <w:rPr>
                <w:rFonts w:ascii="Arial" w:hAnsi="Arial"/>
                <w:sz w:val="16"/>
                <w:szCs w:val="16"/>
              </w:rPr>
              <w:t>79,11% (2020)</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jc w:val="center"/>
              <w:rPr>
                <w:rFonts w:ascii="Arial" w:hAnsi="Arial"/>
                <w:sz w:val="16"/>
                <w:szCs w:val="16"/>
                <w:lang w:val="bs-Latn-BA"/>
              </w:rPr>
            </w:pPr>
            <w:r w:rsidRPr="001E57EA">
              <w:rPr>
                <w:rFonts w:ascii="Arial" w:hAnsi="Arial"/>
                <w:sz w:val="16"/>
                <w:szCs w:val="16"/>
              </w:rPr>
              <w:t>60%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894181" w:rsidRPr="001E57EA" w:rsidRDefault="00894181" w:rsidP="00894181">
            <w:pPr>
              <w:spacing w:before="40" w:after="40"/>
              <w:rPr>
                <w:rFonts w:ascii="Arial" w:hAnsi="Arial"/>
                <w:sz w:val="16"/>
                <w:szCs w:val="16"/>
                <w:lang w:val="bs-Latn-BA"/>
              </w:rPr>
            </w:pPr>
            <w:r w:rsidRPr="001E57EA">
              <w:rPr>
                <w:rFonts w:ascii="Arial" w:hAnsi="Arial"/>
                <w:sz w:val="16"/>
                <w:szCs w:val="16"/>
                <w:lang w:val="hr-HR"/>
              </w:rPr>
              <w:t>% objava u kojima je nasilje u porodici obrađeno kao društveni problem, a ne senzacionalistički</w:t>
            </w:r>
          </w:p>
        </w:tc>
        <w:tc>
          <w:tcPr>
            <w:tcW w:w="865" w:type="pct"/>
            <w:tcBorders>
              <w:left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jc w:val="center"/>
              <w:rPr>
                <w:rFonts w:ascii="Arial" w:hAnsi="Arial"/>
                <w:sz w:val="16"/>
                <w:szCs w:val="16"/>
                <w:lang w:val="bs-Latn-BA"/>
              </w:rPr>
            </w:pPr>
            <w:r w:rsidRPr="001E57EA">
              <w:rPr>
                <w:rFonts w:ascii="Arial" w:hAnsi="Arial"/>
                <w:sz w:val="16"/>
                <w:szCs w:val="16"/>
              </w:rPr>
              <w:t>14% (2018)</w:t>
            </w:r>
          </w:p>
        </w:tc>
        <w:tc>
          <w:tcPr>
            <w:tcW w:w="836" w:type="pct"/>
            <w:tcBorders>
              <w:left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jc w:val="center"/>
              <w:rPr>
                <w:rFonts w:ascii="Arial" w:hAnsi="Arial"/>
                <w:sz w:val="16"/>
                <w:szCs w:val="16"/>
                <w:lang w:val="bs-Latn-BA"/>
              </w:rPr>
            </w:pPr>
            <w:r w:rsidRPr="001E57EA">
              <w:rPr>
                <w:rFonts w:ascii="Arial" w:hAnsi="Arial"/>
                <w:sz w:val="16"/>
                <w:szCs w:val="16"/>
              </w:rPr>
              <w:t>70%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894181" w:rsidRPr="001E57EA" w:rsidRDefault="00894181" w:rsidP="00894181">
            <w:pPr>
              <w:spacing w:before="40" w:after="40"/>
              <w:rPr>
                <w:rFonts w:ascii="Arial" w:hAnsi="Arial"/>
                <w:sz w:val="16"/>
                <w:szCs w:val="16"/>
                <w:lang w:val="bs-Latn-BA"/>
              </w:rPr>
            </w:pPr>
            <w:r w:rsidRPr="001E57EA">
              <w:rPr>
                <w:rFonts w:ascii="Arial" w:hAnsi="Arial"/>
                <w:sz w:val="16"/>
                <w:szCs w:val="16"/>
                <w:lang w:val="de-DE"/>
              </w:rPr>
              <w:t xml:space="preserve">% medijskih objava u kojima je otkriven identitet žrtve </w:t>
            </w:r>
          </w:p>
        </w:tc>
        <w:tc>
          <w:tcPr>
            <w:tcW w:w="865" w:type="pct"/>
            <w:tcBorders>
              <w:left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jc w:val="center"/>
              <w:rPr>
                <w:rFonts w:ascii="Arial" w:hAnsi="Arial"/>
                <w:sz w:val="16"/>
                <w:szCs w:val="16"/>
                <w:lang w:val="bs-Latn-BA"/>
              </w:rPr>
            </w:pPr>
            <w:r w:rsidRPr="001E57EA">
              <w:rPr>
                <w:rFonts w:ascii="Arial" w:hAnsi="Arial"/>
                <w:sz w:val="16"/>
                <w:szCs w:val="16"/>
              </w:rPr>
              <w:t>36% (2018)</w:t>
            </w:r>
          </w:p>
        </w:tc>
        <w:tc>
          <w:tcPr>
            <w:tcW w:w="836" w:type="pct"/>
            <w:tcBorders>
              <w:left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jc w:val="center"/>
              <w:rPr>
                <w:rFonts w:ascii="Arial" w:hAnsi="Arial"/>
                <w:sz w:val="16"/>
                <w:szCs w:val="16"/>
                <w:lang w:val="bs-Latn-BA"/>
              </w:rPr>
            </w:pPr>
            <w:r w:rsidRPr="001E57EA">
              <w:rPr>
                <w:rFonts w:ascii="Arial" w:hAnsi="Arial"/>
                <w:sz w:val="16"/>
                <w:szCs w:val="16"/>
              </w:rPr>
              <w:t>5% (2027)</w:t>
            </w: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894181" w:rsidRPr="001E57EA" w:rsidRDefault="00894181" w:rsidP="00894181">
            <w:pPr>
              <w:spacing w:before="40" w:after="40"/>
              <w:rPr>
                <w:rFonts w:ascii="Arial" w:hAnsi="Arial"/>
                <w:sz w:val="16"/>
                <w:szCs w:val="16"/>
                <w:lang w:val="bs-Latn-BA"/>
              </w:rPr>
            </w:pPr>
            <w:r w:rsidRPr="001E57EA">
              <w:rPr>
                <w:rFonts w:ascii="Arial" w:hAnsi="Arial"/>
                <w:sz w:val="16"/>
                <w:szCs w:val="16"/>
                <w:lang w:val="hr-HR"/>
              </w:rPr>
              <w:t>% profesionalaca koji su završili stručne obuke za postupanje u slučajevima nasilja u porodici</w:t>
            </w: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894181">
            <w:pPr>
              <w:pStyle w:val="Default"/>
              <w:jc w:val="center"/>
              <w:rPr>
                <w:rFonts w:ascii="Arial" w:hAnsi="Arial" w:cs="Arial"/>
                <w:color w:val="auto"/>
                <w:sz w:val="16"/>
                <w:szCs w:val="16"/>
                <w:highlight w:val="yellow"/>
              </w:rPr>
            </w:pPr>
            <w:r w:rsidRPr="001E57EA">
              <w:rPr>
                <w:rFonts w:ascii="Arial" w:hAnsi="Arial" w:cs="Arial"/>
                <w:color w:val="auto"/>
                <w:sz w:val="16"/>
                <w:szCs w:val="16"/>
              </w:rPr>
              <w:t>FMZ 35% (2019)</w:t>
            </w:r>
          </w:p>
          <w:p w:rsidR="00894181" w:rsidRPr="001E57EA" w:rsidRDefault="00894181" w:rsidP="00894181">
            <w:pPr>
              <w:pStyle w:val="Default"/>
              <w:jc w:val="center"/>
              <w:rPr>
                <w:rFonts w:ascii="Arial" w:hAnsi="Arial" w:cs="Arial"/>
                <w:color w:val="auto"/>
                <w:sz w:val="16"/>
                <w:szCs w:val="16"/>
                <w:highlight w:val="yellow"/>
              </w:rPr>
            </w:pPr>
            <w:r w:rsidRPr="001E57EA">
              <w:rPr>
                <w:rFonts w:ascii="Arial" w:hAnsi="Arial" w:cs="Arial"/>
                <w:color w:val="auto"/>
                <w:sz w:val="16"/>
                <w:szCs w:val="16"/>
              </w:rPr>
              <w:t>FMUP, FMRSP i CEST nema podataka o početnom stanju</w:t>
            </w: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jc w:val="center"/>
              <w:rPr>
                <w:rFonts w:ascii="Arial" w:hAnsi="Arial"/>
                <w:sz w:val="16"/>
                <w:szCs w:val="16"/>
                <w:lang w:val="bs-Latn-BA"/>
              </w:rPr>
            </w:pPr>
            <w:r w:rsidRPr="001E57EA">
              <w:rPr>
                <w:rFonts w:ascii="Arial" w:hAnsi="Arial"/>
                <w:sz w:val="16"/>
                <w:szCs w:val="16"/>
              </w:rPr>
              <w:t>70% (2027)</w:t>
            </w: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rPr>
                <w:rFonts w:ascii="Arial" w:hAnsi="Arial"/>
                <w:b/>
                <w:bCs/>
                <w:sz w:val="16"/>
                <w:szCs w:val="16"/>
                <w:lang w:val="hr-HR"/>
              </w:rPr>
            </w:pPr>
            <w:r w:rsidRPr="001E57EA">
              <w:rPr>
                <w:rFonts w:ascii="Arial" w:hAnsi="Arial"/>
                <w:b/>
                <w:bCs/>
                <w:sz w:val="16"/>
                <w:szCs w:val="16"/>
                <w:lang w:val="hr-HR"/>
              </w:rPr>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894181">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rPr>
                <w:rFonts w:ascii="Arial" w:hAnsi="Arial"/>
                <w:b/>
                <w:bCs/>
                <w:sz w:val="16"/>
                <w:szCs w:val="16"/>
                <w:lang w:val="hr-HR"/>
              </w:rPr>
            </w:pPr>
            <w:r w:rsidRPr="001E57EA">
              <w:rPr>
                <w:rFonts w:ascii="Arial" w:hAnsi="Arial"/>
                <w:b/>
                <w:bCs/>
                <w:sz w:val="16"/>
                <w:szCs w:val="16"/>
                <w:lang w:val="hr-HR"/>
              </w:rPr>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Pr="001E57EA">
              <w:rPr>
                <w:rFonts w:ascii="Arial" w:hAnsi="Arial"/>
                <w:sz w:val="16"/>
                <w:szCs w:val="16"/>
              </w:rPr>
              <w:t>750.000</w:t>
            </w:r>
          </w:p>
          <w:p w:rsidR="00894181" w:rsidRPr="001E57EA" w:rsidRDefault="00894181" w:rsidP="00894181">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894181" w:rsidP="00894181">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D20C86" w:rsidP="00894181">
            <w:pPr>
              <w:spacing w:before="40" w:after="40"/>
              <w:ind w:left="624" w:hanging="624"/>
              <w:rPr>
                <w:rFonts w:ascii="Arial" w:hAnsi="Arial"/>
                <w:sz w:val="16"/>
                <w:szCs w:val="16"/>
                <w:lang w:val="hr-HR"/>
              </w:rPr>
            </w:pPr>
            <w:r w:rsidRPr="001E57EA">
              <w:rPr>
                <w:rFonts w:ascii="Arial" w:hAnsi="Arial"/>
                <w:sz w:val="16"/>
                <w:szCs w:val="16"/>
                <w:lang w:val="hr-HR"/>
              </w:rPr>
              <w:t>Gender Centar Federacije Bosne i Hercegovine</w:t>
            </w:r>
          </w:p>
        </w:tc>
      </w:tr>
      <w:tr w:rsidR="001E57EA" w:rsidRPr="00F35483"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D20C86" w:rsidP="00D20C86">
            <w:pPr>
              <w:spacing w:before="40" w:after="40"/>
              <w:rPr>
                <w:rFonts w:ascii="Arial" w:hAnsi="Arial"/>
                <w:sz w:val="16"/>
                <w:szCs w:val="16"/>
                <w:lang w:val="hr-HR"/>
              </w:rPr>
            </w:pPr>
            <w:r w:rsidRPr="001E57EA">
              <w:rPr>
                <w:rFonts w:ascii="Arial" w:hAnsi="Arial"/>
                <w:sz w:val="16"/>
                <w:szCs w:val="16"/>
                <w:lang w:val="hr-HR"/>
              </w:rPr>
              <w:t>Gender Centar Federacije Bosne i Hercegovine, Federalni zavod za programiranje razvoja, Federalno ministarstvo pravde, Federalno ministarstvo unutrašnjih poslova, Federalno ministarstvo rada  i socijalne politike, Federalno ministarstvo zdravstva, Federalno ministarstvo obrazovanja i nauke i Federalno ministarstvo kulture i sporta</w:t>
            </w:r>
          </w:p>
        </w:tc>
      </w:tr>
      <w:tr w:rsidR="001E57EA" w:rsidRPr="001E57EA"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4181" w:rsidRPr="001E57EA" w:rsidRDefault="00894181" w:rsidP="00894181">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4181" w:rsidRPr="001E57EA" w:rsidRDefault="00D20C86" w:rsidP="00894181">
            <w:pPr>
              <w:spacing w:before="40" w:after="40"/>
              <w:rPr>
                <w:rFonts w:ascii="Arial" w:hAnsi="Arial"/>
                <w:sz w:val="16"/>
                <w:szCs w:val="16"/>
                <w:lang w:val="hr-HR"/>
              </w:rPr>
            </w:pPr>
            <w:r w:rsidRPr="001E57EA">
              <w:rPr>
                <w:rFonts w:ascii="Arial" w:hAnsi="Arial"/>
                <w:sz w:val="16"/>
                <w:szCs w:val="16"/>
                <w:lang w:val="hr-HR"/>
              </w:rPr>
              <w:t>Građani</w:t>
            </w:r>
            <w:r w:rsidR="00B54CFB" w:rsidRPr="001E57EA">
              <w:rPr>
                <w:rFonts w:ascii="Arial" w:hAnsi="Arial"/>
                <w:sz w:val="16"/>
                <w:szCs w:val="16"/>
                <w:lang w:val="hr-HR"/>
              </w:rPr>
              <w:t>/ke</w:t>
            </w:r>
            <w:r w:rsidRPr="001E57EA">
              <w:rPr>
                <w:rFonts w:ascii="Arial" w:hAnsi="Arial"/>
                <w:sz w:val="16"/>
                <w:szCs w:val="16"/>
                <w:lang w:val="hr-HR"/>
              </w:rPr>
              <w:t xml:space="preserve"> i uposlenici</w:t>
            </w:r>
            <w:r w:rsidR="00B54CFB" w:rsidRPr="001E57EA">
              <w:rPr>
                <w:rFonts w:ascii="Arial" w:hAnsi="Arial"/>
                <w:sz w:val="16"/>
                <w:szCs w:val="16"/>
                <w:lang w:val="hr-HR"/>
              </w:rPr>
              <w:t>/ce</w:t>
            </w:r>
            <w:r w:rsidRPr="001E57EA">
              <w:rPr>
                <w:rFonts w:ascii="Arial" w:hAnsi="Arial"/>
                <w:sz w:val="16"/>
                <w:szCs w:val="16"/>
                <w:lang w:val="hr-HR"/>
              </w:rPr>
              <w:t xml:space="preserve"> u nadležnim institucijama</w:t>
            </w:r>
          </w:p>
        </w:tc>
      </w:tr>
    </w:tbl>
    <w:p w:rsidR="00DD5460" w:rsidRPr="001E57EA" w:rsidRDefault="00DD5460">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1E57EA"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sz w:val="16"/>
                <w:szCs w:val="16"/>
                <w:lang w:val="hr-HR"/>
              </w:rPr>
            </w:pPr>
            <w:r w:rsidRPr="001E57EA">
              <w:rPr>
                <w:rFonts w:ascii="Arial" w:hAnsi="Arial"/>
                <w:b/>
                <w:sz w:val="16"/>
                <w:szCs w:val="16"/>
                <w:lang w:val="bs-Latn-BA"/>
              </w:rPr>
              <w:t>1.1.</w:t>
            </w:r>
            <w:r w:rsidRPr="001E57EA">
              <w:rPr>
                <w:rFonts w:ascii="Arial" w:hAnsi="Arial"/>
                <w:sz w:val="16"/>
                <w:szCs w:val="16"/>
                <w:lang w:val="bs-Latn-BA"/>
              </w:rPr>
              <w:t xml:space="preserve"> Poboljšati sistemsku prevenciju nasilja u porodici</w:t>
            </w:r>
          </w:p>
        </w:tc>
      </w:tr>
      <w:tr w:rsidR="001E57EA" w:rsidRPr="00F35483"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hr-HR"/>
              </w:rPr>
              <w:t>1.1.2.</w:t>
            </w:r>
            <w:r w:rsidRPr="001E57EA">
              <w:rPr>
                <w:rFonts w:ascii="Arial" w:hAnsi="Arial"/>
                <w:sz w:val="16"/>
                <w:szCs w:val="16"/>
                <w:lang w:val="bs-Latn-BA"/>
              </w:rPr>
              <w:t xml:space="preserve"> Razvijati mehanizme ranog prepoznavanja nasilja i otklanjanja faktora rizika za nasilje u porodici</w:t>
            </w:r>
          </w:p>
        </w:tc>
      </w:tr>
      <w:tr w:rsidR="001E57EA" w:rsidRPr="00F35483"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20C86" w:rsidP="00D20C86">
            <w:pPr>
              <w:spacing w:before="40" w:after="40"/>
              <w:jc w:val="both"/>
              <w:rPr>
                <w:rFonts w:ascii="Arial" w:hAnsi="Arial"/>
                <w:sz w:val="16"/>
                <w:szCs w:val="16"/>
                <w:lang w:val="hr-HR"/>
              </w:rPr>
            </w:pPr>
            <w:r w:rsidRPr="001E57EA">
              <w:rPr>
                <w:rFonts w:ascii="Arial" w:hAnsi="Arial"/>
                <w:sz w:val="16"/>
                <w:szCs w:val="16"/>
                <w:lang w:val="hr-HR"/>
              </w:rPr>
              <w:t>Razviti sistem rane detekcije nasilja i eliminacije faktora rizika kako bi se pravovremeno djelovalo, te kako do nasilnog ponašanja, a posebno dugogodišnjeg nasilja u porodici, uopće ne bi ni dolazilo</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žena žrtava nasilja korisnica programa ekonomskog osnaživanja žena</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szCs w:val="16"/>
              </w:rPr>
              <w:t>nema podataka o početnom stanju</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10% (2020)</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poslodavaca koji su spremni na zapošljavanje žrtava nasilja</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18% (2018)</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50% (2020)</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djece koja su u predmetima nasilja u porodici prepoznata kao žrtve nasilja</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4,6% (2020)</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20% (2020)</w:t>
            </w: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pStyle w:val="Default"/>
              <w:jc w:val="center"/>
              <w:rPr>
                <w:rFonts w:ascii="Arial" w:hAnsi="Arial" w:cs="Arial"/>
                <w:color w:val="auto"/>
                <w:sz w:val="16"/>
                <w:szCs w:val="16"/>
                <w:highlight w:val="yellow"/>
              </w:rPr>
            </w:pP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lastRenderedPageBreak/>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Pr="001E57EA">
              <w:rPr>
                <w:rFonts w:ascii="Arial" w:hAnsi="Arial"/>
                <w:sz w:val="16"/>
                <w:szCs w:val="16"/>
              </w:rPr>
              <w:t>457.000</w:t>
            </w:r>
          </w:p>
          <w:p w:rsidR="00DD5460" w:rsidRPr="001E57EA" w:rsidRDefault="00DD5460" w:rsidP="006479F0">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20C86" w:rsidP="002061DA">
            <w:pPr>
              <w:spacing w:before="40" w:after="40"/>
              <w:rPr>
                <w:rFonts w:ascii="Arial" w:hAnsi="Arial"/>
                <w:sz w:val="16"/>
                <w:szCs w:val="16"/>
                <w:lang w:val="hr-HR"/>
              </w:rPr>
            </w:pPr>
            <w:r w:rsidRPr="001E57EA">
              <w:rPr>
                <w:rFonts w:ascii="Arial" w:hAnsi="Arial"/>
                <w:sz w:val="16"/>
                <w:szCs w:val="16"/>
                <w:lang w:val="hr-HR"/>
              </w:rPr>
              <w:t>Federalno ministarstvo rada  i socijalne politike</w:t>
            </w:r>
            <w:r w:rsidR="002061DA" w:rsidRPr="001E57EA">
              <w:rPr>
                <w:rFonts w:ascii="Arial" w:hAnsi="Arial"/>
                <w:sz w:val="16"/>
                <w:szCs w:val="16"/>
                <w:lang w:val="hr-HR"/>
              </w:rPr>
              <w:t>, Federalno ministarstvo zdravstva, Federalno ministarstvo obrazovanja i nauke</w:t>
            </w:r>
          </w:p>
        </w:tc>
      </w:tr>
      <w:tr w:rsidR="001E57EA" w:rsidRPr="001E57EA"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20C86" w:rsidRPr="001E57EA" w:rsidRDefault="00D20C86" w:rsidP="00D20C86">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C86" w:rsidRPr="001E57EA" w:rsidRDefault="00D20C86" w:rsidP="00D20C86">
            <w:pPr>
              <w:spacing w:before="40" w:after="40"/>
              <w:rPr>
                <w:rFonts w:ascii="Arial" w:hAnsi="Arial"/>
                <w:sz w:val="16"/>
                <w:szCs w:val="16"/>
                <w:lang w:val="hr-HR"/>
              </w:rPr>
            </w:pPr>
            <w:r w:rsidRPr="001E57EA">
              <w:rPr>
                <w:rFonts w:ascii="Arial" w:hAnsi="Arial"/>
                <w:sz w:val="16"/>
                <w:szCs w:val="16"/>
                <w:lang w:val="hr-HR"/>
              </w:rPr>
              <w:t>Gender Centar Federacije Bosne i Hercegovine, Federalno ministarstvo rada  i socijalne politike, Federalno ministarstvo zdravstva, Federalno ministarstvo obrazovanja i nauke i Federalno ministarstvo kulture i sporta</w:t>
            </w:r>
          </w:p>
        </w:tc>
      </w:tr>
      <w:tr w:rsidR="001E57EA" w:rsidRPr="001E57EA"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20C86" w:rsidRPr="001E57EA" w:rsidRDefault="00D20C86" w:rsidP="00D20C86">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C86" w:rsidRPr="001E57EA" w:rsidRDefault="00B54CFB" w:rsidP="00D20C86">
            <w:pPr>
              <w:spacing w:before="40" w:after="40"/>
              <w:rPr>
                <w:rFonts w:ascii="Arial" w:hAnsi="Arial"/>
                <w:sz w:val="16"/>
                <w:szCs w:val="16"/>
                <w:lang w:val="hr-HR"/>
              </w:rPr>
            </w:pPr>
            <w:r w:rsidRPr="001E57EA">
              <w:rPr>
                <w:rFonts w:ascii="Arial" w:hAnsi="Arial"/>
                <w:sz w:val="16"/>
                <w:szCs w:val="16"/>
                <w:lang w:val="hr-HR"/>
              </w:rPr>
              <w:t>Građani/ke i uposlenici/ce u nadležnim institucijama</w:t>
            </w:r>
          </w:p>
        </w:tc>
      </w:tr>
    </w:tbl>
    <w:p w:rsidR="00DD5460" w:rsidRPr="001E57EA" w:rsidRDefault="00DD5460">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1E57EA"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sz w:val="16"/>
                <w:szCs w:val="16"/>
                <w:lang w:val="hr-HR"/>
              </w:rPr>
            </w:pPr>
            <w:r w:rsidRPr="001E57EA">
              <w:rPr>
                <w:rFonts w:ascii="Arial" w:hAnsi="Arial"/>
                <w:b/>
                <w:sz w:val="16"/>
                <w:szCs w:val="16"/>
                <w:lang w:val="bs-Latn-BA"/>
              </w:rPr>
              <w:t>1.1.</w:t>
            </w:r>
            <w:r w:rsidRPr="001E57EA">
              <w:rPr>
                <w:rFonts w:ascii="Arial" w:hAnsi="Arial"/>
                <w:sz w:val="16"/>
                <w:szCs w:val="16"/>
                <w:lang w:val="bs-Latn-BA"/>
              </w:rPr>
              <w:t xml:space="preserve"> Poboljšati sistemsku prevenciju nasilja u porodici</w:t>
            </w:r>
          </w:p>
        </w:tc>
      </w:tr>
      <w:tr w:rsidR="001E57EA" w:rsidRPr="001E57EA"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hr-HR"/>
              </w:rPr>
              <w:t>1.1.3.</w:t>
            </w:r>
            <w:r w:rsidRPr="001E57EA">
              <w:rPr>
                <w:rFonts w:ascii="Arial" w:hAnsi="Arial"/>
                <w:sz w:val="16"/>
                <w:szCs w:val="16"/>
                <w:lang w:val="bs-Latn-BA"/>
              </w:rPr>
              <w:t xml:space="preserve"> Unaprijediti proces praćenja primjene propisa i usklađivanja sa stvarnim potrebama</w:t>
            </w:r>
          </w:p>
        </w:tc>
      </w:tr>
      <w:tr w:rsidR="001E57EA" w:rsidRPr="001E57EA"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20C86" w:rsidP="00D20C86">
            <w:pPr>
              <w:spacing w:before="40" w:after="40"/>
              <w:jc w:val="both"/>
              <w:rPr>
                <w:rFonts w:ascii="Arial" w:hAnsi="Arial"/>
                <w:sz w:val="16"/>
                <w:szCs w:val="16"/>
                <w:lang w:val="hr-HR"/>
              </w:rPr>
            </w:pPr>
            <w:r w:rsidRPr="001E57EA">
              <w:rPr>
                <w:rFonts w:ascii="Arial" w:hAnsi="Arial"/>
                <w:sz w:val="16"/>
                <w:szCs w:val="16"/>
                <w:lang w:val="hr-HR"/>
              </w:rPr>
              <w:t>Unaprijediti proces praćenja primjene propisa i usklađivanja sa stvarnim potrebama</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Broj izvještaja o provedbi Zakona o zaštiti od nasilja u porodici prema Parlamentu Federacije BiH</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szCs w:val="16"/>
              </w:rPr>
              <w:t>0</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szCs w:val="16"/>
              </w:rPr>
              <w:t>1 godišnje</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rPr>
              <w:t>% izmijenjenih propisa za koje su date preporuke</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szCs w:val="16"/>
              </w:rPr>
              <w:t>Nema podataka</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szCs w:val="16"/>
              </w:rPr>
              <w:t>100%</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Broj godišnjih izvještaja/informacija koordinacionih tijela prema vladama</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szCs w:val="16"/>
              </w:rPr>
              <w:t>6 (2020)</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szCs w:val="16"/>
              </w:rPr>
              <w:t>11 godišnje</w:t>
            </w: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pStyle w:val="Default"/>
              <w:jc w:val="center"/>
              <w:rPr>
                <w:rFonts w:ascii="Arial" w:hAnsi="Arial" w:cs="Arial"/>
                <w:color w:val="auto"/>
                <w:sz w:val="16"/>
                <w:szCs w:val="16"/>
                <w:highlight w:val="yellow"/>
              </w:rPr>
            </w:pP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Pr="001E57EA">
              <w:rPr>
                <w:rFonts w:ascii="Arial" w:hAnsi="Arial"/>
                <w:sz w:val="16"/>
                <w:szCs w:val="16"/>
              </w:rPr>
              <w:t>320.000</w:t>
            </w:r>
          </w:p>
          <w:p w:rsidR="00DD5460" w:rsidRPr="001E57EA" w:rsidRDefault="00DD5460" w:rsidP="006479F0">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A72695" w:rsidP="006479F0">
            <w:pPr>
              <w:spacing w:before="40" w:after="40"/>
              <w:ind w:left="624" w:hanging="624"/>
              <w:rPr>
                <w:rFonts w:ascii="Arial" w:hAnsi="Arial"/>
                <w:sz w:val="16"/>
                <w:szCs w:val="16"/>
                <w:lang w:val="hr-HR"/>
              </w:rPr>
            </w:pPr>
            <w:r w:rsidRPr="001E57EA">
              <w:rPr>
                <w:rFonts w:ascii="Arial" w:hAnsi="Arial"/>
                <w:sz w:val="16"/>
                <w:szCs w:val="16"/>
                <w:lang w:val="hr-HR"/>
              </w:rPr>
              <w:t>Gender Centar Federacije Bosne i Hercegovine</w:t>
            </w:r>
          </w:p>
        </w:tc>
      </w:tr>
      <w:tr w:rsidR="001E57EA" w:rsidRPr="00F35483"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6479F0" w:rsidP="006479F0">
            <w:pPr>
              <w:spacing w:before="40" w:after="40"/>
              <w:rPr>
                <w:rFonts w:ascii="Arial" w:hAnsi="Arial"/>
                <w:sz w:val="16"/>
                <w:szCs w:val="16"/>
                <w:lang w:val="hr-HR"/>
              </w:rPr>
            </w:pPr>
            <w:r w:rsidRPr="001E57EA">
              <w:rPr>
                <w:rFonts w:ascii="Arial" w:hAnsi="Arial"/>
                <w:sz w:val="16"/>
                <w:szCs w:val="16"/>
                <w:lang w:val="hr-HR"/>
              </w:rPr>
              <w:t>Gender Centar Federacije Bosne i Hercegovine, Federalni zavod za programiranje razvoja, Federalno ministarstvo pravde, Federalno ministarstvo unutrašnjih poslova, Federalno ministarstvo rada  i socijalne politike, Federalno ministarstvo zdravstva, Federalno ministarstvo obrazovanja i nauke i Federalno ministarstvo kulture i sporta</w:t>
            </w:r>
          </w:p>
        </w:tc>
      </w:tr>
      <w:tr w:rsidR="001E57EA" w:rsidRPr="001E57EA"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A72695" w:rsidP="006479F0">
            <w:pPr>
              <w:spacing w:before="40" w:after="40"/>
              <w:rPr>
                <w:rFonts w:ascii="Arial" w:hAnsi="Arial"/>
                <w:sz w:val="16"/>
                <w:szCs w:val="16"/>
                <w:lang w:val="hr-HR"/>
              </w:rPr>
            </w:pPr>
            <w:r w:rsidRPr="001E57EA">
              <w:rPr>
                <w:rFonts w:ascii="Arial" w:hAnsi="Arial"/>
                <w:sz w:val="16"/>
                <w:szCs w:val="16"/>
                <w:lang w:val="hr-HR"/>
              </w:rPr>
              <w:t>Nadležne institucije</w:t>
            </w:r>
          </w:p>
        </w:tc>
      </w:tr>
    </w:tbl>
    <w:p w:rsidR="00DD5460" w:rsidRPr="001E57EA" w:rsidRDefault="00DD5460">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F35483"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bs-Latn-BA"/>
              </w:rPr>
              <w:t>1.2.</w:t>
            </w:r>
            <w:r w:rsidRPr="001E57EA">
              <w:rPr>
                <w:rFonts w:ascii="Arial" w:hAnsi="Arial"/>
                <w:sz w:val="16"/>
                <w:szCs w:val="16"/>
                <w:lang w:val="bs-Latn-BA"/>
              </w:rPr>
              <w:t xml:space="preserve"> Unaprijediti sistem sveobuhvatne i efikasne zaštite žrtava nasilja u porodici</w:t>
            </w:r>
          </w:p>
        </w:tc>
      </w:tr>
      <w:tr w:rsidR="001E57EA" w:rsidRPr="001E57EA"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hr-HR"/>
              </w:rPr>
              <w:t>1.2.1.</w:t>
            </w:r>
            <w:r w:rsidRPr="001E57EA">
              <w:rPr>
                <w:rFonts w:ascii="Arial" w:hAnsi="Arial"/>
                <w:sz w:val="16"/>
                <w:szCs w:val="16"/>
                <w:lang w:val="bs-Latn-BA"/>
              </w:rPr>
              <w:t xml:space="preserve"> Unapređenje zaštite žrtava nasilja</w:t>
            </w:r>
          </w:p>
        </w:tc>
      </w:tr>
      <w:tr w:rsidR="001E57EA" w:rsidRPr="00F35483"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B54CFB">
            <w:pPr>
              <w:spacing w:before="40" w:after="40"/>
              <w:jc w:val="both"/>
              <w:rPr>
                <w:rFonts w:ascii="Arial" w:hAnsi="Arial"/>
                <w:sz w:val="16"/>
                <w:szCs w:val="16"/>
                <w:lang w:val="hr-HR"/>
              </w:rPr>
            </w:pPr>
            <w:r w:rsidRPr="001E57EA">
              <w:rPr>
                <w:rFonts w:ascii="Arial" w:hAnsi="Arial"/>
                <w:sz w:val="16"/>
                <w:szCs w:val="16"/>
                <w:lang w:val="hr-HR"/>
              </w:rPr>
              <w:t>Unaprijediti zaštitu žrtava nasilja kroz osiguranje prava i potreba žrtava nasilja, a posebno u obzir uzeti najbolji interes djece, te osigurati psihosocijalnu podršku prilagođenu životnoj dobi.</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djece koja su prepoznata kao osobe koje se štite zaštitnim mjerama</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pStyle w:val="TekstStrategija"/>
              <w:jc w:val="center"/>
              <w:rPr>
                <w:sz w:val="16"/>
              </w:rPr>
            </w:pPr>
            <w:r w:rsidRPr="001E57EA">
              <w:rPr>
                <w:sz w:val="16"/>
              </w:rPr>
              <w:t>5% (2019)</w:t>
            </w:r>
          </w:p>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6%(2020)</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20%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osoba koje su smještene u sigurne kuće u odnosu na broj prijava</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10% (2019)</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5%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službenika koji smatraju da posao utječe negativno na njihovo zdravlje</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31,2% (2021)</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10% (2027)</w:t>
            </w: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pStyle w:val="Default"/>
              <w:jc w:val="center"/>
              <w:rPr>
                <w:rFonts w:ascii="Arial" w:hAnsi="Arial" w:cs="Arial"/>
                <w:color w:val="auto"/>
                <w:sz w:val="16"/>
                <w:szCs w:val="16"/>
                <w:highlight w:val="yellow"/>
              </w:rPr>
            </w:pP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lastRenderedPageBreak/>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Pr="001E57EA">
              <w:rPr>
                <w:rFonts w:ascii="Arial" w:eastAsia="Times New Roman" w:hAnsi="Arial"/>
                <w:sz w:val="16"/>
                <w:szCs w:val="16"/>
                <w:lang w:val="sr-Latn-BA" w:eastAsia="en-GB"/>
              </w:rPr>
              <w:t>90.000</w:t>
            </w:r>
          </w:p>
          <w:p w:rsidR="00DD5460" w:rsidRPr="001E57EA" w:rsidRDefault="00DD5460" w:rsidP="006479F0">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6479F0">
            <w:pPr>
              <w:spacing w:before="40" w:after="40"/>
              <w:ind w:left="624" w:hanging="624"/>
              <w:rPr>
                <w:rFonts w:ascii="Arial" w:hAnsi="Arial"/>
                <w:sz w:val="16"/>
                <w:szCs w:val="16"/>
                <w:lang w:val="hr-HR"/>
              </w:rPr>
            </w:pPr>
            <w:r w:rsidRPr="001E57EA">
              <w:rPr>
                <w:rFonts w:ascii="Arial" w:hAnsi="Arial"/>
                <w:sz w:val="16"/>
                <w:szCs w:val="16"/>
                <w:lang w:val="hr-HR"/>
              </w:rPr>
              <w:t>Federalno ministarstvo rada  i socijalne politike</w:t>
            </w:r>
          </w:p>
        </w:tc>
      </w:tr>
      <w:tr w:rsidR="001E57EA" w:rsidRPr="001E57EA"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54CFB" w:rsidRPr="001E57EA" w:rsidRDefault="00B54CFB" w:rsidP="00B54CFB">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CFB" w:rsidRPr="001E57EA" w:rsidRDefault="00B54CFB" w:rsidP="00B54CFB">
            <w:pPr>
              <w:spacing w:before="40" w:after="40"/>
              <w:rPr>
                <w:rFonts w:ascii="Arial" w:hAnsi="Arial"/>
                <w:sz w:val="16"/>
                <w:szCs w:val="16"/>
                <w:lang w:val="hr-HR"/>
              </w:rPr>
            </w:pPr>
            <w:r w:rsidRPr="001E57EA">
              <w:rPr>
                <w:rFonts w:ascii="Arial" w:hAnsi="Arial"/>
                <w:sz w:val="16"/>
                <w:szCs w:val="16"/>
                <w:lang w:val="hr-HR"/>
              </w:rPr>
              <w:t>Federalno ministarstvo rada  i socijalne politike, Federalno ministarstvo zdravstva, Federalno ministarstvo obrazovanja i nauke, Federalno ministarstvo pravde</w:t>
            </w:r>
          </w:p>
        </w:tc>
      </w:tr>
      <w:tr w:rsidR="001E57EA" w:rsidRPr="001E57EA"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54CFB" w:rsidRPr="001E57EA" w:rsidRDefault="00B54CFB" w:rsidP="00B54CFB">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CFB" w:rsidRPr="001E57EA" w:rsidRDefault="00B54CFB" w:rsidP="00B54CFB">
            <w:pPr>
              <w:spacing w:before="40" w:after="40"/>
              <w:rPr>
                <w:rFonts w:ascii="Arial" w:hAnsi="Arial"/>
                <w:sz w:val="16"/>
                <w:szCs w:val="16"/>
                <w:lang w:val="hr-HR"/>
              </w:rPr>
            </w:pPr>
            <w:r w:rsidRPr="001E57EA">
              <w:rPr>
                <w:rFonts w:ascii="Arial" w:hAnsi="Arial"/>
                <w:sz w:val="16"/>
                <w:szCs w:val="16"/>
                <w:lang w:val="hr-HR"/>
              </w:rPr>
              <w:t>Građani/ke i uposlenici/ce u nadležnim institucijama i organizacijama</w:t>
            </w:r>
          </w:p>
        </w:tc>
      </w:tr>
    </w:tbl>
    <w:p w:rsidR="00DD5460" w:rsidRPr="001E57EA" w:rsidRDefault="00DD5460">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F35483"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sz w:val="16"/>
                <w:szCs w:val="16"/>
                <w:lang w:val="hr-HR"/>
              </w:rPr>
            </w:pPr>
            <w:r w:rsidRPr="001E57EA">
              <w:rPr>
                <w:rFonts w:ascii="Arial" w:hAnsi="Arial"/>
                <w:b/>
                <w:sz w:val="16"/>
                <w:szCs w:val="16"/>
                <w:lang w:val="bs-Latn-BA"/>
              </w:rPr>
              <w:t>1.2.</w:t>
            </w:r>
            <w:r w:rsidRPr="001E57EA">
              <w:rPr>
                <w:rFonts w:ascii="Arial" w:hAnsi="Arial"/>
                <w:sz w:val="16"/>
                <w:szCs w:val="16"/>
                <w:lang w:val="bs-Latn-BA"/>
              </w:rPr>
              <w:t xml:space="preserve"> Unaprijediti sistem sveobuhvatne i efikasne zaštite žrtava nasilja u porodici</w:t>
            </w:r>
          </w:p>
        </w:tc>
      </w:tr>
      <w:tr w:rsidR="001E57EA" w:rsidRPr="001E57EA"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hr-HR"/>
              </w:rPr>
              <w:t>1.2.2.</w:t>
            </w:r>
            <w:r w:rsidRPr="001E57EA">
              <w:rPr>
                <w:rFonts w:ascii="Arial" w:hAnsi="Arial"/>
                <w:sz w:val="16"/>
                <w:szCs w:val="16"/>
                <w:lang w:val="bs-Latn-BA"/>
              </w:rPr>
              <w:t xml:space="preserve"> Unapređenje podrške žrtvama nasilja</w:t>
            </w:r>
          </w:p>
        </w:tc>
      </w:tr>
      <w:tr w:rsidR="001E57EA" w:rsidRPr="00F35483"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6479F0">
            <w:pPr>
              <w:spacing w:before="40" w:after="40"/>
              <w:jc w:val="both"/>
              <w:rPr>
                <w:rFonts w:ascii="Arial" w:hAnsi="Arial"/>
                <w:sz w:val="16"/>
                <w:szCs w:val="16"/>
                <w:lang w:val="hr-HR"/>
              </w:rPr>
            </w:pPr>
            <w:r w:rsidRPr="001E57EA">
              <w:rPr>
                <w:rFonts w:ascii="Arial" w:hAnsi="Arial"/>
                <w:sz w:val="16"/>
                <w:szCs w:val="16"/>
                <w:lang w:val="hr-HR"/>
              </w:rPr>
              <w:t>Unaprijediti mehanizme podrške žrtvama nasilja kroz besplatnu pravnu pomoć, ekonomsko osnaživanje, smještaj u sigurne kuće, mehanizme informisanja i sl.</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de-DE"/>
              </w:rPr>
              <w:t>Broj poziva na SOS telefon 1265</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501</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1.500</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usluga besplatne pravne pomoći u vezi sa nasiljem u porodici</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Nema podataka o početnom stanju</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5%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žrtava nasilja korisnica programa ekonomskog osnaživanja</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Nema podataka o početnom stanju</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2% (2027)</w:t>
            </w: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pStyle w:val="Default"/>
              <w:jc w:val="center"/>
              <w:rPr>
                <w:rFonts w:ascii="Arial" w:hAnsi="Arial" w:cs="Arial"/>
                <w:color w:val="auto"/>
                <w:sz w:val="16"/>
                <w:szCs w:val="16"/>
                <w:highlight w:val="yellow"/>
              </w:rPr>
            </w:pP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Pr="001E57EA">
              <w:rPr>
                <w:rFonts w:ascii="Arial" w:eastAsia="Times New Roman" w:hAnsi="Arial"/>
                <w:sz w:val="16"/>
                <w:szCs w:val="16"/>
                <w:lang w:val="sr-Latn-BA" w:eastAsia="en-GB"/>
              </w:rPr>
              <w:t>260.000</w:t>
            </w:r>
          </w:p>
          <w:p w:rsidR="00DD5460" w:rsidRPr="001E57EA" w:rsidRDefault="00DD5460" w:rsidP="006479F0">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6479F0">
            <w:pPr>
              <w:spacing w:before="40" w:after="40"/>
              <w:ind w:left="624" w:hanging="624"/>
              <w:rPr>
                <w:rFonts w:ascii="Arial" w:hAnsi="Arial"/>
                <w:sz w:val="16"/>
                <w:szCs w:val="16"/>
                <w:lang w:val="hr-HR"/>
              </w:rPr>
            </w:pPr>
            <w:r w:rsidRPr="001E57EA">
              <w:rPr>
                <w:rFonts w:ascii="Arial" w:hAnsi="Arial"/>
                <w:sz w:val="16"/>
                <w:szCs w:val="16"/>
                <w:lang w:val="hr-HR"/>
              </w:rPr>
              <w:t>Gender Centar Federacije Bosne i Hercegovine</w:t>
            </w:r>
          </w:p>
        </w:tc>
      </w:tr>
      <w:tr w:rsidR="001E57EA" w:rsidRPr="00F35483"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B54CFB">
            <w:pPr>
              <w:spacing w:before="40" w:after="40"/>
              <w:rPr>
                <w:rFonts w:ascii="Arial" w:hAnsi="Arial"/>
                <w:sz w:val="16"/>
                <w:szCs w:val="16"/>
                <w:lang w:val="hr-HR"/>
              </w:rPr>
            </w:pPr>
            <w:r w:rsidRPr="001E57EA">
              <w:rPr>
                <w:rFonts w:ascii="Arial" w:hAnsi="Arial"/>
                <w:sz w:val="16"/>
                <w:szCs w:val="16"/>
                <w:lang w:val="hr-HR"/>
              </w:rPr>
              <w:t>Gender Centar Federacije Bosne i Hercegovine, Federalni zavod za programiranje razvoja, Federalno ministarstvo pravde, Federalno ministarstvo unutrašnjih poslova, Federalno ministarstvo rada  i socijalne politike, Federalno ministarstvo zdravstva, Federalno ministarstvo obrazovanja i nauke i Federalno ministarstvo kulture i sporta</w:t>
            </w:r>
          </w:p>
        </w:tc>
      </w:tr>
      <w:tr w:rsidR="001E57EA" w:rsidRPr="001E57EA"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54CFB" w:rsidRPr="001E57EA" w:rsidRDefault="00B54CFB" w:rsidP="00B54CFB">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CFB" w:rsidRPr="001E57EA" w:rsidRDefault="00B54CFB" w:rsidP="00B54CFB">
            <w:pPr>
              <w:spacing w:before="40" w:after="40"/>
              <w:rPr>
                <w:rFonts w:ascii="Arial" w:hAnsi="Arial"/>
                <w:sz w:val="16"/>
                <w:szCs w:val="16"/>
                <w:lang w:val="hr-HR"/>
              </w:rPr>
            </w:pPr>
            <w:r w:rsidRPr="001E57EA">
              <w:rPr>
                <w:rFonts w:ascii="Arial" w:hAnsi="Arial"/>
                <w:sz w:val="16"/>
                <w:szCs w:val="16"/>
                <w:lang w:val="hr-HR"/>
              </w:rPr>
              <w:t>Građani/ke i uposlenici/ce u nadležnim institucijama i organizacijama</w:t>
            </w:r>
          </w:p>
        </w:tc>
      </w:tr>
    </w:tbl>
    <w:p w:rsidR="00DD5460" w:rsidRPr="001E57EA" w:rsidRDefault="00DD5460">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F35483"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sz w:val="16"/>
                <w:szCs w:val="16"/>
                <w:lang w:val="hr-HR"/>
              </w:rPr>
            </w:pPr>
            <w:r w:rsidRPr="001E57EA">
              <w:rPr>
                <w:rFonts w:ascii="Arial" w:hAnsi="Arial"/>
                <w:b/>
                <w:sz w:val="16"/>
                <w:szCs w:val="16"/>
                <w:lang w:val="bs-Latn-BA"/>
              </w:rPr>
              <w:t>1.2.</w:t>
            </w:r>
            <w:r w:rsidRPr="001E57EA">
              <w:rPr>
                <w:rFonts w:ascii="Arial" w:hAnsi="Arial"/>
                <w:sz w:val="16"/>
                <w:szCs w:val="16"/>
                <w:lang w:val="bs-Latn-BA"/>
              </w:rPr>
              <w:t xml:space="preserve"> Unaprijediti sistem sveobuhvatne i efikasne zaštite žrtava nasilja u porodici</w:t>
            </w:r>
          </w:p>
        </w:tc>
      </w:tr>
      <w:tr w:rsidR="001E57EA" w:rsidRPr="00F35483"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hr-HR"/>
              </w:rPr>
              <w:t>1.2.3.</w:t>
            </w:r>
            <w:r w:rsidRPr="001E57EA">
              <w:rPr>
                <w:rFonts w:ascii="Arial" w:hAnsi="Arial"/>
                <w:sz w:val="16"/>
                <w:szCs w:val="16"/>
                <w:lang w:val="bs-Latn-BA"/>
              </w:rPr>
              <w:t xml:space="preserve"> Unapređenje rada sa počiniocima nasilja u porodici</w:t>
            </w:r>
          </w:p>
        </w:tc>
      </w:tr>
      <w:tr w:rsidR="001E57EA" w:rsidRPr="00F35483"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B54CFB">
            <w:pPr>
              <w:spacing w:before="40" w:after="40"/>
              <w:jc w:val="both"/>
              <w:rPr>
                <w:rFonts w:ascii="Arial" w:hAnsi="Arial"/>
                <w:sz w:val="16"/>
                <w:szCs w:val="16"/>
                <w:lang w:val="hr-HR"/>
              </w:rPr>
            </w:pPr>
            <w:r w:rsidRPr="001E57EA">
              <w:rPr>
                <w:rFonts w:ascii="Arial" w:hAnsi="Arial"/>
                <w:sz w:val="16"/>
                <w:szCs w:val="16"/>
                <w:lang w:val="hr-HR"/>
              </w:rPr>
              <w:t xml:space="preserve">Unaprijediti programe rada sa počiniocima nasilja, kao i specijalizirane edukacije stručnjaka za provođenje psihosocijalnog tretmana počinioca nasilja. </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rPr>
              <w:t>% recidiva počinilaca nasilja u porodici</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2022. bit će kroz istraživanje</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rPr>
              <w:t>% certificiranih provodioca psihosocijalnog tretmana</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64% (2021)</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100%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DD546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DD5460">
            <w:pPr>
              <w:spacing w:before="40" w:after="40"/>
              <w:rPr>
                <w:rFonts w:ascii="Arial" w:hAnsi="Arial"/>
                <w:sz w:val="16"/>
                <w:szCs w:val="16"/>
                <w:lang w:val="bs-Latn-BA"/>
              </w:rPr>
            </w:pPr>
            <w:r w:rsidRPr="001E57EA">
              <w:rPr>
                <w:rFonts w:ascii="Arial" w:hAnsi="Arial"/>
                <w:sz w:val="16"/>
                <w:szCs w:val="16"/>
                <w:lang w:val="hr-HR"/>
              </w:rPr>
              <w:t>% izrečenih zaštitnih mjera obavezan psihosocijalni tretmanom</w:t>
            </w: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DD5460">
            <w:pPr>
              <w:pStyle w:val="TekstStrategija"/>
              <w:jc w:val="center"/>
              <w:rPr>
                <w:sz w:val="16"/>
              </w:rPr>
            </w:pPr>
            <w:r w:rsidRPr="001E57EA">
              <w:rPr>
                <w:sz w:val="16"/>
              </w:rPr>
              <w:t>12% (2019)</w:t>
            </w:r>
          </w:p>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10,45 (2020)</w:t>
            </w: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jc w:val="center"/>
              <w:rPr>
                <w:rFonts w:ascii="Arial" w:hAnsi="Arial"/>
                <w:sz w:val="16"/>
                <w:szCs w:val="16"/>
                <w:lang w:val="bs-Latn-BA"/>
              </w:rPr>
            </w:pPr>
            <w:r w:rsidRPr="001E57EA">
              <w:rPr>
                <w:rFonts w:ascii="Arial" w:hAnsi="Arial"/>
                <w:sz w:val="16"/>
              </w:rPr>
              <w:t>40% (2027)</w:t>
            </w: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pStyle w:val="Default"/>
              <w:jc w:val="center"/>
              <w:rPr>
                <w:rFonts w:ascii="Arial" w:hAnsi="Arial" w:cs="Arial"/>
                <w:color w:val="auto"/>
                <w:sz w:val="16"/>
                <w:szCs w:val="16"/>
                <w:highlight w:val="yellow"/>
              </w:rPr>
            </w:pP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lastRenderedPageBreak/>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Pr="001E57EA">
              <w:rPr>
                <w:rFonts w:ascii="Arial" w:eastAsia="Times New Roman" w:hAnsi="Arial"/>
                <w:sz w:val="16"/>
                <w:szCs w:val="16"/>
                <w:lang w:val="sr-Latn-BA" w:eastAsia="en-GB"/>
              </w:rPr>
              <w:t>350.000</w:t>
            </w:r>
          </w:p>
          <w:p w:rsidR="00DD5460" w:rsidRPr="001E57EA" w:rsidRDefault="00DD5460" w:rsidP="006479F0">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6479F0">
            <w:pPr>
              <w:spacing w:before="40" w:after="40"/>
              <w:ind w:left="624" w:hanging="624"/>
              <w:rPr>
                <w:rFonts w:ascii="Arial" w:hAnsi="Arial"/>
                <w:sz w:val="16"/>
                <w:szCs w:val="16"/>
                <w:lang w:val="hr-HR"/>
              </w:rPr>
            </w:pPr>
            <w:r w:rsidRPr="001E57EA">
              <w:rPr>
                <w:rFonts w:ascii="Arial" w:hAnsi="Arial"/>
                <w:sz w:val="16"/>
                <w:szCs w:val="16"/>
                <w:lang w:val="hr-HR"/>
              </w:rPr>
              <w:t>Federalno ministarstvo rada  i socijalne politike i Federalno ministarstvo zdravstva</w:t>
            </w:r>
          </w:p>
        </w:tc>
      </w:tr>
      <w:tr w:rsidR="001E57EA" w:rsidRPr="001E57EA"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B54CFB">
            <w:pPr>
              <w:spacing w:before="40" w:after="40"/>
              <w:rPr>
                <w:rFonts w:ascii="Arial" w:hAnsi="Arial"/>
                <w:sz w:val="16"/>
                <w:szCs w:val="16"/>
                <w:lang w:val="hr-HR"/>
              </w:rPr>
            </w:pPr>
            <w:r w:rsidRPr="001E57EA">
              <w:rPr>
                <w:rFonts w:ascii="Arial" w:hAnsi="Arial"/>
                <w:sz w:val="16"/>
                <w:szCs w:val="16"/>
                <w:lang w:val="hr-HR"/>
              </w:rPr>
              <w:t>Federalno ministarstvo rada  i socijalne politike, Federalno ministarstvo zdravstva</w:t>
            </w:r>
          </w:p>
        </w:tc>
      </w:tr>
      <w:tr w:rsidR="001E57EA" w:rsidRPr="00F35483"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6479F0">
            <w:pPr>
              <w:spacing w:before="40" w:after="40"/>
              <w:rPr>
                <w:rFonts w:ascii="Arial" w:hAnsi="Arial"/>
                <w:sz w:val="16"/>
                <w:szCs w:val="16"/>
                <w:lang w:val="hr-HR"/>
              </w:rPr>
            </w:pPr>
            <w:r w:rsidRPr="001E57EA">
              <w:rPr>
                <w:rFonts w:ascii="Arial" w:hAnsi="Arial"/>
                <w:sz w:val="16"/>
                <w:szCs w:val="16"/>
                <w:lang w:val="hr-HR"/>
              </w:rPr>
              <w:t>Počinioci nasilja u porodici, osobe u faktoru rizika i profesionalci koji rade sa počiniocima nasilja</w:t>
            </w:r>
          </w:p>
        </w:tc>
      </w:tr>
    </w:tbl>
    <w:p w:rsidR="00DD5460" w:rsidRPr="001E57EA" w:rsidRDefault="00DD5460">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F35483"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bs-Latn-BA"/>
              </w:rPr>
              <w:t>1.3.</w:t>
            </w:r>
            <w:r w:rsidRPr="001E57EA">
              <w:rPr>
                <w:rFonts w:ascii="Arial" w:hAnsi="Arial"/>
                <w:sz w:val="16"/>
                <w:szCs w:val="16"/>
                <w:lang w:val="bs-Latn-BA"/>
              </w:rPr>
              <w:t xml:space="preserve"> Unaprijediti istražne i pravosudne radnje u slučajevima nasilja u porodici</w:t>
            </w:r>
          </w:p>
        </w:tc>
      </w:tr>
      <w:tr w:rsidR="001E57EA" w:rsidRPr="00F35483"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DD5460">
            <w:pPr>
              <w:spacing w:before="40" w:after="40"/>
              <w:rPr>
                <w:rFonts w:ascii="Arial" w:hAnsi="Arial"/>
                <w:b/>
                <w:sz w:val="16"/>
                <w:szCs w:val="16"/>
                <w:lang w:val="hr-HR"/>
              </w:rPr>
            </w:pPr>
            <w:r w:rsidRPr="001E57EA">
              <w:rPr>
                <w:rFonts w:ascii="Arial" w:hAnsi="Arial"/>
                <w:b/>
                <w:sz w:val="16"/>
                <w:szCs w:val="16"/>
                <w:lang w:val="hr-HR"/>
              </w:rPr>
              <w:t>1.3.1.</w:t>
            </w:r>
            <w:r w:rsidRPr="001E57EA">
              <w:rPr>
                <w:rFonts w:ascii="Arial" w:hAnsi="Arial"/>
                <w:sz w:val="16"/>
                <w:szCs w:val="16"/>
                <w:lang w:val="bs-Latn-BA"/>
              </w:rPr>
              <w:t xml:space="preserve"> Poboljšati uvjete za žrtave nasilja, djecu žrtava i svjedoke tokom istražnih i pravosudnih radnji</w:t>
            </w:r>
          </w:p>
        </w:tc>
      </w:tr>
      <w:tr w:rsidR="001E57EA" w:rsidRPr="00F35483"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B54CFB" w:rsidP="0047455E">
            <w:pPr>
              <w:spacing w:before="40" w:after="40"/>
              <w:jc w:val="both"/>
              <w:rPr>
                <w:rFonts w:ascii="Arial" w:hAnsi="Arial"/>
                <w:sz w:val="16"/>
                <w:szCs w:val="16"/>
                <w:lang w:val="hr-HR"/>
              </w:rPr>
            </w:pPr>
            <w:r w:rsidRPr="001E57EA">
              <w:rPr>
                <w:rFonts w:ascii="Arial" w:hAnsi="Arial"/>
                <w:sz w:val="16"/>
                <w:szCs w:val="16"/>
                <w:lang w:val="hr-HR"/>
              </w:rPr>
              <w:t xml:space="preserve">Unaprijediti provođenje istražnih i pravosudnih radnji </w:t>
            </w:r>
            <w:r w:rsidR="0047455E" w:rsidRPr="001E57EA">
              <w:rPr>
                <w:rFonts w:ascii="Arial" w:hAnsi="Arial"/>
                <w:sz w:val="16"/>
                <w:szCs w:val="16"/>
                <w:lang w:val="hr-HR"/>
              </w:rPr>
              <w:t>kroz</w:t>
            </w:r>
            <w:r w:rsidRPr="001E57EA">
              <w:rPr>
                <w:rFonts w:ascii="Arial" w:hAnsi="Arial"/>
                <w:sz w:val="16"/>
                <w:szCs w:val="16"/>
                <w:lang w:val="hr-HR"/>
              </w:rPr>
              <w:t xml:space="preserve"> primjenu standarda kojim će se pružiti adekvatna pomoć žrtvama, te osigurati pristup informacijama o pravima žrtava i odgovarajućim službama podrške koje će im pomoći da njihova prava i interesi budu predstavljeni.</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DD5460" w:rsidRPr="001E57EA" w:rsidRDefault="00DD5460"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7B07B6" w:rsidRPr="001E57EA" w:rsidRDefault="007B07B6" w:rsidP="007B07B6">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7B07B6" w:rsidRPr="001E57EA" w:rsidRDefault="007B07B6" w:rsidP="007B07B6">
            <w:pPr>
              <w:spacing w:before="40" w:after="40"/>
              <w:rPr>
                <w:rFonts w:ascii="Arial" w:hAnsi="Arial"/>
                <w:sz w:val="16"/>
                <w:szCs w:val="16"/>
                <w:lang w:val="bs-Latn-BA"/>
              </w:rPr>
            </w:pPr>
            <w:r w:rsidRPr="001E57EA">
              <w:rPr>
                <w:rFonts w:ascii="Arial" w:hAnsi="Arial"/>
                <w:sz w:val="16"/>
                <w:szCs w:val="16"/>
                <w:lang w:val="hr-HR"/>
              </w:rPr>
              <w:t>% slučajeva u kojima su djeca prepoznata kao žrtve štićene zaštitnom mjerom</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lang w:val="bs-Latn-BA"/>
              </w:rPr>
            </w:pPr>
            <w:r w:rsidRPr="001E57EA">
              <w:rPr>
                <w:rFonts w:ascii="Arial" w:hAnsi="Arial"/>
                <w:sz w:val="16"/>
                <w:szCs w:val="16"/>
              </w:rPr>
              <w:t>11,43% (2018)</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lang w:val="bs-Latn-BA"/>
              </w:rPr>
            </w:pPr>
            <w:r w:rsidRPr="001E57EA">
              <w:rPr>
                <w:rFonts w:ascii="Arial" w:hAnsi="Arial"/>
                <w:sz w:val="16"/>
                <w:szCs w:val="16"/>
              </w:rPr>
              <w:t>80%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c>
          <w:tcPr>
            <w:tcW w:w="836" w:type="pct"/>
            <w:tcBorders>
              <w:left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DD5460" w:rsidRPr="001E57EA" w:rsidRDefault="00DD5460" w:rsidP="006479F0">
            <w:pPr>
              <w:spacing w:before="40" w:after="40"/>
              <w:rPr>
                <w:rFonts w:ascii="Arial" w:hAnsi="Arial"/>
                <w:sz w:val="16"/>
                <w:szCs w:val="16"/>
                <w:lang w:val="bs-Latn-BA"/>
              </w:rPr>
            </w:pP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pStyle w:val="Default"/>
              <w:jc w:val="center"/>
              <w:rPr>
                <w:rFonts w:ascii="Arial" w:hAnsi="Arial" w:cs="Arial"/>
                <w:color w:val="auto"/>
                <w:sz w:val="16"/>
                <w:szCs w:val="16"/>
                <w:highlight w:val="yellow"/>
              </w:rPr>
            </w:pP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jc w:val="center"/>
              <w:rPr>
                <w:rFonts w:ascii="Arial" w:hAnsi="Arial"/>
                <w:sz w:val="16"/>
                <w:szCs w:val="16"/>
                <w:lang w:val="bs-Latn-BA"/>
              </w:rPr>
            </w:pP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007B07B6" w:rsidRPr="001E57EA">
              <w:rPr>
                <w:rFonts w:ascii="Arial" w:eastAsia="Times New Roman" w:hAnsi="Arial"/>
                <w:sz w:val="16"/>
                <w:szCs w:val="16"/>
                <w:lang w:val="sr-Latn-BA" w:eastAsia="en-GB"/>
              </w:rPr>
              <w:t>8</w:t>
            </w:r>
            <w:r w:rsidRPr="001E57EA">
              <w:rPr>
                <w:rFonts w:ascii="Arial" w:eastAsia="Times New Roman" w:hAnsi="Arial"/>
                <w:sz w:val="16"/>
                <w:szCs w:val="16"/>
                <w:lang w:val="sr-Latn-BA" w:eastAsia="en-GB"/>
              </w:rPr>
              <w:t>50.000</w:t>
            </w:r>
          </w:p>
          <w:p w:rsidR="00DD5460" w:rsidRPr="001E57EA" w:rsidRDefault="00DD5460" w:rsidP="006479F0">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DD5460" w:rsidP="006479F0">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47455E" w:rsidP="006479F0">
            <w:pPr>
              <w:spacing w:before="40" w:after="40"/>
              <w:ind w:left="624" w:hanging="624"/>
              <w:rPr>
                <w:rFonts w:ascii="Arial" w:hAnsi="Arial"/>
                <w:sz w:val="16"/>
                <w:szCs w:val="16"/>
                <w:lang w:val="hr-HR"/>
              </w:rPr>
            </w:pPr>
            <w:r w:rsidRPr="001E57EA">
              <w:rPr>
                <w:rFonts w:ascii="Arial" w:hAnsi="Arial"/>
                <w:sz w:val="16"/>
                <w:szCs w:val="16"/>
                <w:lang w:val="hr-HR"/>
              </w:rPr>
              <w:t>Federalno ministarstvo pravde, Federalno ministarstvo unutrašnjih poslova</w:t>
            </w:r>
          </w:p>
        </w:tc>
      </w:tr>
      <w:tr w:rsidR="001E57EA" w:rsidRPr="001E57EA"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47455E" w:rsidP="006479F0">
            <w:pPr>
              <w:spacing w:before="40" w:after="40"/>
              <w:ind w:left="624" w:hanging="624"/>
              <w:rPr>
                <w:rFonts w:ascii="Arial" w:hAnsi="Arial"/>
                <w:sz w:val="16"/>
                <w:szCs w:val="16"/>
                <w:lang w:val="hr-HR"/>
              </w:rPr>
            </w:pPr>
            <w:r w:rsidRPr="001E57EA">
              <w:rPr>
                <w:rFonts w:ascii="Arial" w:hAnsi="Arial"/>
                <w:sz w:val="16"/>
                <w:szCs w:val="16"/>
                <w:lang w:val="hr-HR"/>
              </w:rPr>
              <w:t>Federalno ministarstvo pravde, Federalno ministarstvo unutrašnjih poslova</w:t>
            </w:r>
          </w:p>
        </w:tc>
      </w:tr>
      <w:tr w:rsidR="001E57EA" w:rsidRPr="001E57EA"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D5460" w:rsidRPr="001E57EA" w:rsidRDefault="00DD5460" w:rsidP="006479F0">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460" w:rsidRPr="001E57EA" w:rsidRDefault="0047455E" w:rsidP="006479F0">
            <w:pPr>
              <w:spacing w:before="40" w:after="40"/>
              <w:rPr>
                <w:rFonts w:ascii="Arial" w:hAnsi="Arial"/>
                <w:sz w:val="16"/>
                <w:szCs w:val="16"/>
                <w:lang w:val="hr-HR"/>
              </w:rPr>
            </w:pPr>
            <w:r w:rsidRPr="001E57EA">
              <w:rPr>
                <w:rFonts w:ascii="Arial" w:hAnsi="Arial"/>
                <w:sz w:val="16"/>
                <w:szCs w:val="16"/>
                <w:lang w:val="hr-HR"/>
              </w:rPr>
              <w:t>Građani/ke i uposlenici/ce u nadležnim institucijama i organizacijama</w:t>
            </w:r>
          </w:p>
        </w:tc>
      </w:tr>
    </w:tbl>
    <w:p w:rsidR="007B07B6" w:rsidRPr="001E57EA" w:rsidRDefault="007B07B6">
      <w:pPr>
        <w:spacing w:after="0"/>
        <w:rPr>
          <w:rFonts w:ascii="Arial" w:hAnsi="Arial"/>
          <w:lang w:val="bs-Latn-B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406"/>
        <w:gridCol w:w="3543"/>
        <w:gridCol w:w="1560"/>
        <w:gridCol w:w="1507"/>
      </w:tblGrid>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Veza sa strateškim ciljem</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spacing w:before="40" w:after="40"/>
              <w:rPr>
                <w:rFonts w:ascii="Arial" w:hAnsi="Arial"/>
                <w:b/>
                <w:bCs/>
                <w:smallCaps/>
                <w:sz w:val="16"/>
                <w:szCs w:val="16"/>
                <w:lang w:val="hr-HR"/>
              </w:rPr>
            </w:pPr>
            <w:r w:rsidRPr="001E57EA">
              <w:rPr>
                <w:rFonts w:ascii="Arial" w:hAnsi="Arial"/>
                <w:b/>
                <w:bCs/>
                <w:smallCaps/>
                <w:sz w:val="16"/>
                <w:szCs w:val="16"/>
                <w:lang w:val="hr-HR"/>
              </w:rPr>
              <w:t>1.</w:t>
            </w:r>
            <w:r w:rsidRPr="001E57EA">
              <w:rPr>
                <w:rFonts w:ascii="Arial" w:hAnsi="Arial"/>
                <w:sz w:val="16"/>
                <w:szCs w:val="16"/>
                <w:lang w:val="bs-Latn-BA"/>
              </w:rPr>
              <w:t xml:space="preserve"> Smanjiti nasilje u porodici</w:t>
            </w:r>
          </w:p>
        </w:tc>
      </w:tr>
      <w:tr w:rsidR="001E57EA" w:rsidRPr="00F35483" w:rsidTr="00805D8D">
        <w:trPr>
          <w:trHeight w:val="14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Prioritet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spacing w:before="40" w:after="40"/>
              <w:rPr>
                <w:rFonts w:ascii="Arial" w:hAnsi="Arial"/>
                <w:b/>
                <w:sz w:val="16"/>
                <w:szCs w:val="16"/>
                <w:lang w:val="hr-HR"/>
              </w:rPr>
            </w:pPr>
            <w:r w:rsidRPr="001E57EA">
              <w:rPr>
                <w:rFonts w:ascii="Arial" w:hAnsi="Arial"/>
                <w:b/>
                <w:sz w:val="16"/>
                <w:szCs w:val="16"/>
                <w:lang w:val="bs-Latn-BA"/>
              </w:rPr>
              <w:t>1.3.</w:t>
            </w:r>
            <w:r w:rsidRPr="001E57EA">
              <w:rPr>
                <w:rFonts w:ascii="Arial" w:hAnsi="Arial"/>
                <w:sz w:val="16"/>
                <w:szCs w:val="16"/>
                <w:lang w:val="bs-Latn-BA"/>
              </w:rPr>
              <w:t xml:space="preserve"> Unaprijediti istražne i pravosudne radnje u slučajevima nasilja u porodici</w:t>
            </w:r>
          </w:p>
        </w:tc>
      </w:tr>
      <w:tr w:rsidR="001E57EA" w:rsidRPr="00F35483" w:rsidTr="00805D8D">
        <w:trPr>
          <w:trHeight w:val="134"/>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Naziv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rPr>
                <w:rFonts w:ascii="Arial" w:hAnsi="Arial"/>
                <w:b/>
                <w:sz w:val="16"/>
                <w:szCs w:val="16"/>
                <w:lang w:val="hr-HR"/>
              </w:rPr>
            </w:pPr>
            <w:r w:rsidRPr="001E57EA">
              <w:rPr>
                <w:rFonts w:ascii="Arial" w:hAnsi="Arial"/>
                <w:b/>
                <w:sz w:val="16"/>
                <w:szCs w:val="16"/>
                <w:lang w:val="hr-HR"/>
              </w:rPr>
              <w:t>1.3.2.</w:t>
            </w:r>
            <w:r w:rsidRPr="001E57EA">
              <w:rPr>
                <w:rFonts w:ascii="Arial" w:hAnsi="Arial"/>
                <w:sz w:val="16"/>
                <w:szCs w:val="16"/>
                <w:lang w:val="bs-Latn-BA"/>
              </w:rPr>
              <w:t xml:space="preserve"> Poboljšati efikasnost rada službenih lica u slučajevima nasilja u porodici</w:t>
            </w:r>
          </w:p>
        </w:tc>
      </w:tr>
      <w:tr w:rsidR="001E57EA" w:rsidRPr="00F35483" w:rsidTr="00805D8D">
        <w:trPr>
          <w:trHeight w:val="2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Opis mjere sa okvirnim područjima djelovanja</w:t>
            </w:r>
            <w:r w:rsidRPr="001E57EA">
              <w:rPr>
                <w:rFonts w:ascii="Arial" w:hAnsi="Arial"/>
                <w:b/>
                <w:sz w:val="16"/>
                <w:szCs w:val="16"/>
                <w:lang w:val="hr-HR"/>
              </w:rPr>
              <w:t>*</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47455E" w:rsidP="006479F0">
            <w:pPr>
              <w:spacing w:before="40" w:after="40"/>
              <w:jc w:val="both"/>
              <w:rPr>
                <w:rFonts w:ascii="Arial" w:hAnsi="Arial"/>
                <w:sz w:val="16"/>
                <w:szCs w:val="16"/>
                <w:lang w:val="hr-HR"/>
              </w:rPr>
            </w:pPr>
            <w:r w:rsidRPr="001E57EA">
              <w:rPr>
                <w:rFonts w:ascii="Arial" w:hAnsi="Arial"/>
                <w:sz w:val="16"/>
                <w:szCs w:val="16"/>
                <w:lang w:val="hr-HR"/>
              </w:rPr>
              <w:t>Unaprijediti rad ovlaštenih službenih lica koja rade na poslovima postupanja u slučajevima nasilja u porodici, kao i nosilaca pravosudnih funkcija</w:t>
            </w:r>
          </w:p>
        </w:tc>
      </w:tr>
      <w:tr w:rsidR="001E57EA" w:rsidRPr="001E57EA" w:rsidTr="00805D8D">
        <w:trPr>
          <w:trHeight w:val="257"/>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Strateški projekti</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spacing w:before="40" w:after="40"/>
              <w:jc w:val="both"/>
              <w:rPr>
                <w:rFonts w:ascii="Arial" w:hAnsi="Arial"/>
                <w:sz w:val="16"/>
                <w:szCs w:val="16"/>
                <w:lang w:val="hr-HR"/>
              </w:rPr>
            </w:pPr>
          </w:p>
        </w:tc>
      </w:tr>
      <w:tr w:rsidR="001E57EA" w:rsidRPr="001E57EA" w:rsidTr="00805D8D">
        <w:trPr>
          <w:trHeight w:val="119"/>
          <w:jc w:val="center"/>
        </w:trPr>
        <w:tc>
          <w:tcPr>
            <w:tcW w:w="133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Indikatori za praćenje rezultata mjere</w:t>
            </w:r>
          </w:p>
        </w:tc>
        <w:tc>
          <w:tcPr>
            <w:tcW w:w="19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Indikatori</w:t>
            </w:r>
          </w:p>
        </w:tc>
        <w:tc>
          <w:tcPr>
            <w:tcW w:w="8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jc w:val="center"/>
              <w:rPr>
                <w:rFonts w:ascii="Arial" w:hAnsi="Arial"/>
                <w:b/>
                <w:sz w:val="16"/>
                <w:szCs w:val="16"/>
                <w:lang w:val="hr-HR"/>
              </w:rPr>
            </w:pPr>
            <w:r w:rsidRPr="001E57EA">
              <w:rPr>
                <w:rFonts w:ascii="Arial" w:hAnsi="Arial"/>
                <w:b/>
                <w:sz w:val="16"/>
                <w:szCs w:val="16"/>
                <w:lang w:val="hr-HR"/>
              </w:rPr>
              <w:t>Polazne</w:t>
            </w:r>
          </w:p>
          <w:p w:rsidR="007B07B6" w:rsidRPr="001E57EA" w:rsidRDefault="007B07B6"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ind w:left="624" w:hanging="624"/>
              <w:jc w:val="center"/>
              <w:rPr>
                <w:rFonts w:ascii="Arial" w:hAnsi="Arial"/>
                <w:b/>
                <w:sz w:val="16"/>
                <w:szCs w:val="16"/>
                <w:lang w:val="hr-HR"/>
              </w:rPr>
            </w:pPr>
            <w:r w:rsidRPr="001E57EA">
              <w:rPr>
                <w:rFonts w:ascii="Arial" w:hAnsi="Arial"/>
                <w:b/>
                <w:sz w:val="16"/>
                <w:szCs w:val="16"/>
                <w:lang w:val="hr-HR"/>
              </w:rPr>
              <w:t>Ciljne</w:t>
            </w:r>
          </w:p>
          <w:p w:rsidR="007B07B6" w:rsidRPr="001E57EA" w:rsidRDefault="007B07B6" w:rsidP="006479F0">
            <w:pPr>
              <w:spacing w:before="40" w:after="40"/>
              <w:jc w:val="center"/>
              <w:rPr>
                <w:rFonts w:ascii="Arial" w:hAnsi="Arial"/>
                <w:b/>
                <w:sz w:val="16"/>
                <w:szCs w:val="16"/>
                <w:lang w:val="hr-HR"/>
              </w:rPr>
            </w:pPr>
            <w:r w:rsidRPr="001E57EA">
              <w:rPr>
                <w:rFonts w:ascii="Arial" w:hAnsi="Arial"/>
                <w:b/>
                <w:sz w:val="16"/>
                <w:szCs w:val="16"/>
                <w:lang w:val="hr-HR"/>
              </w:rPr>
              <w:t xml:space="preserve">vrijednosti*** </w:t>
            </w:r>
          </w:p>
        </w:tc>
      </w:tr>
      <w:tr w:rsidR="001E57EA" w:rsidRPr="001E57EA" w:rsidTr="00805D8D">
        <w:trPr>
          <w:trHeight w:val="161"/>
          <w:jc w:val="center"/>
        </w:trPr>
        <w:tc>
          <w:tcPr>
            <w:tcW w:w="1334" w:type="pct"/>
            <w:vMerge/>
            <w:tcBorders>
              <w:left w:val="single" w:sz="4" w:space="0" w:color="auto"/>
              <w:right w:val="single" w:sz="4" w:space="0" w:color="auto"/>
            </w:tcBorders>
            <w:shd w:val="clear" w:color="auto" w:fill="DEEAF6" w:themeFill="accent1" w:themeFillTint="33"/>
            <w:vAlign w:val="center"/>
          </w:tcPr>
          <w:p w:rsidR="007B07B6" w:rsidRPr="001E57EA" w:rsidRDefault="007B07B6" w:rsidP="007B07B6">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7B07B6" w:rsidRPr="001E57EA" w:rsidRDefault="007B07B6" w:rsidP="007B07B6">
            <w:pPr>
              <w:spacing w:before="40" w:after="40"/>
              <w:rPr>
                <w:rFonts w:ascii="Arial" w:hAnsi="Arial"/>
                <w:sz w:val="16"/>
                <w:szCs w:val="16"/>
                <w:lang w:val="bs-Latn-BA"/>
              </w:rPr>
            </w:pPr>
            <w:r w:rsidRPr="001E57EA">
              <w:rPr>
                <w:rFonts w:ascii="Arial" w:hAnsi="Arial"/>
                <w:sz w:val="16"/>
                <w:szCs w:val="16"/>
                <w:lang w:val="hr-HR"/>
              </w:rPr>
              <w:t>% slučajeva nasilja koje žrtve ne prijavljuju</w:t>
            </w:r>
          </w:p>
        </w:tc>
        <w:tc>
          <w:tcPr>
            <w:tcW w:w="865" w:type="pct"/>
            <w:tcBorders>
              <w:top w:val="single" w:sz="4" w:space="0" w:color="auto"/>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lang w:val="bs-Latn-BA"/>
              </w:rPr>
            </w:pPr>
            <w:r w:rsidRPr="001E57EA">
              <w:rPr>
                <w:rFonts w:ascii="Arial" w:hAnsi="Arial"/>
                <w:sz w:val="16"/>
              </w:rPr>
              <w:t>70,3% (2018)</w:t>
            </w:r>
          </w:p>
        </w:tc>
        <w:tc>
          <w:tcPr>
            <w:tcW w:w="836" w:type="pct"/>
            <w:tcBorders>
              <w:top w:val="single" w:sz="4" w:space="0" w:color="auto"/>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lang w:val="bs-Latn-BA"/>
              </w:rPr>
            </w:pPr>
            <w:r w:rsidRPr="001E57EA">
              <w:rPr>
                <w:rFonts w:ascii="Arial" w:hAnsi="Arial"/>
                <w:sz w:val="16"/>
              </w:rPr>
              <w:t>10%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7B07B6" w:rsidRPr="001E57EA" w:rsidRDefault="007B07B6" w:rsidP="007B07B6">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7B07B6" w:rsidRPr="001E57EA" w:rsidRDefault="007B07B6" w:rsidP="007B07B6">
            <w:pPr>
              <w:spacing w:before="40" w:after="40"/>
              <w:rPr>
                <w:rFonts w:ascii="Arial" w:hAnsi="Arial"/>
                <w:sz w:val="16"/>
                <w:szCs w:val="16"/>
                <w:lang w:val="bs-Latn-BA"/>
              </w:rPr>
            </w:pPr>
            <w:r w:rsidRPr="001E57EA">
              <w:rPr>
                <w:rFonts w:ascii="Arial" w:hAnsi="Arial"/>
                <w:sz w:val="16"/>
                <w:szCs w:val="16"/>
                <w:lang w:val="hr-HR"/>
              </w:rPr>
              <w:t>% educiranih sudija i tužilaca koji rade na poslovima nasilja u porodici</w:t>
            </w:r>
          </w:p>
        </w:tc>
        <w:tc>
          <w:tcPr>
            <w:tcW w:w="865" w:type="pct"/>
            <w:tcBorders>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lang w:val="bs-Latn-BA"/>
              </w:rPr>
            </w:pPr>
            <w:r w:rsidRPr="001E57EA">
              <w:rPr>
                <w:rFonts w:ascii="Arial" w:hAnsi="Arial"/>
                <w:sz w:val="16"/>
              </w:rPr>
              <w:t>Nema podataka</w:t>
            </w:r>
          </w:p>
        </w:tc>
        <w:tc>
          <w:tcPr>
            <w:tcW w:w="836" w:type="pct"/>
            <w:tcBorders>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highlight w:val="yellow"/>
                <w:lang w:val="bs-Latn-BA"/>
              </w:rPr>
            </w:pPr>
            <w:r w:rsidRPr="001E57EA">
              <w:rPr>
                <w:rFonts w:ascii="Arial" w:hAnsi="Arial"/>
                <w:sz w:val="16"/>
              </w:rPr>
              <w:t>90% (2027)</w:t>
            </w:r>
          </w:p>
        </w:tc>
      </w:tr>
      <w:tr w:rsidR="001E57EA" w:rsidRPr="001E57EA" w:rsidTr="00805D8D">
        <w:trPr>
          <w:trHeight w:val="159"/>
          <w:jc w:val="center"/>
        </w:trPr>
        <w:tc>
          <w:tcPr>
            <w:tcW w:w="1334" w:type="pct"/>
            <w:vMerge/>
            <w:tcBorders>
              <w:left w:val="single" w:sz="4" w:space="0" w:color="auto"/>
              <w:right w:val="single" w:sz="4" w:space="0" w:color="auto"/>
            </w:tcBorders>
            <w:shd w:val="clear" w:color="auto" w:fill="DEEAF6" w:themeFill="accent1" w:themeFillTint="33"/>
            <w:vAlign w:val="center"/>
          </w:tcPr>
          <w:p w:rsidR="007B07B6" w:rsidRPr="001E57EA" w:rsidRDefault="007B07B6" w:rsidP="007B07B6">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7B07B6" w:rsidRPr="001E57EA" w:rsidRDefault="007B07B6" w:rsidP="007B07B6">
            <w:pPr>
              <w:spacing w:before="40" w:after="40"/>
              <w:rPr>
                <w:rFonts w:ascii="Arial" w:hAnsi="Arial"/>
                <w:sz w:val="16"/>
                <w:szCs w:val="16"/>
                <w:lang w:val="bs-Latn-BA"/>
              </w:rPr>
            </w:pPr>
            <w:r w:rsidRPr="001E57EA">
              <w:rPr>
                <w:rFonts w:ascii="Arial" w:hAnsi="Arial"/>
                <w:sz w:val="16"/>
                <w:szCs w:val="16"/>
                <w:lang w:val="hr-HR"/>
              </w:rPr>
              <w:t>% educiranih policijskih službenika koji rade na poslovima nasilja u porodici</w:t>
            </w:r>
          </w:p>
        </w:tc>
        <w:tc>
          <w:tcPr>
            <w:tcW w:w="865" w:type="pct"/>
            <w:tcBorders>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lang w:val="bs-Latn-BA"/>
              </w:rPr>
            </w:pPr>
            <w:r w:rsidRPr="001E57EA">
              <w:rPr>
                <w:rFonts w:ascii="Arial" w:hAnsi="Arial"/>
                <w:sz w:val="16"/>
              </w:rPr>
              <w:t>Nema podataka</w:t>
            </w:r>
          </w:p>
        </w:tc>
        <w:tc>
          <w:tcPr>
            <w:tcW w:w="836" w:type="pct"/>
            <w:tcBorders>
              <w:left w:val="single" w:sz="4" w:space="0" w:color="auto"/>
              <w:right w:val="single" w:sz="4" w:space="0" w:color="auto"/>
            </w:tcBorders>
            <w:shd w:val="clear" w:color="auto" w:fill="FFFFFF" w:themeFill="background1"/>
            <w:vAlign w:val="center"/>
          </w:tcPr>
          <w:p w:rsidR="007B07B6" w:rsidRPr="001E57EA" w:rsidRDefault="007B07B6" w:rsidP="007B07B6">
            <w:pPr>
              <w:spacing w:before="40" w:after="40"/>
              <w:jc w:val="center"/>
              <w:rPr>
                <w:rFonts w:ascii="Arial" w:hAnsi="Arial"/>
                <w:sz w:val="16"/>
                <w:szCs w:val="16"/>
                <w:highlight w:val="yellow"/>
                <w:lang w:val="bs-Latn-BA"/>
              </w:rPr>
            </w:pPr>
            <w:r w:rsidRPr="001E57EA">
              <w:rPr>
                <w:rFonts w:ascii="Arial" w:hAnsi="Arial"/>
                <w:sz w:val="16"/>
              </w:rPr>
              <w:t>90% (2027)</w:t>
            </w:r>
          </w:p>
        </w:tc>
      </w:tr>
      <w:tr w:rsidR="001E57EA" w:rsidRPr="001E57EA" w:rsidTr="00805D8D">
        <w:trPr>
          <w:trHeight w:val="159"/>
          <w:jc w:val="center"/>
        </w:trPr>
        <w:tc>
          <w:tcPr>
            <w:tcW w:w="1334" w:type="pct"/>
            <w:vMerge/>
            <w:tcBorders>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jc w:val="both"/>
              <w:rPr>
                <w:rFonts w:ascii="Arial" w:hAnsi="Arial"/>
                <w:b/>
                <w:bCs/>
                <w:sz w:val="16"/>
                <w:szCs w:val="16"/>
                <w:lang w:val="hr-HR"/>
              </w:rPr>
            </w:pP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tcPr>
          <w:p w:rsidR="007B07B6" w:rsidRPr="001E57EA" w:rsidRDefault="007B07B6" w:rsidP="006479F0">
            <w:pPr>
              <w:spacing w:before="40" w:after="40"/>
              <w:rPr>
                <w:rFonts w:ascii="Arial" w:hAnsi="Arial"/>
                <w:sz w:val="16"/>
                <w:szCs w:val="16"/>
                <w:lang w:val="bs-Latn-BA"/>
              </w:rPr>
            </w:pPr>
          </w:p>
        </w:tc>
        <w:tc>
          <w:tcPr>
            <w:tcW w:w="865" w:type="pct"/>
            <w:tcBorders>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pStyle w:val="Default"/>
              <w:jc w:val="center"/>
              <w:rPr>
                <w:rFonts w:ascii="Arial" w:hAnsi="Arial" w:cs="Arial"/>
                <w:color w:val="auto"/>
                <w:sz w:val="16"/>
                <w:szCs w:val="16"/>
                <w:highlight w:val="yellow"/>
              </w:rPr>
            </w:pPr>
          </w:p>
        </w:tc>
        <w:tc>
          <w:tcPr>
            <w:tcW w:w="836" w:type="pct"/>
            <w:tcBorders>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spacing w:before="40" w:after="40"/>
              <w:jc w:val="center"/>
              <w:rPr>
                <w:rFonts w:ascii="Arial" w:hAnsi="Arial"/>
                <w:sz w:val="16"/>
                <w:szCs w:val="16"/>
                <w:lang w:val="bs-Latn-BA"/>
              </w:rPr>
            </w:pPr>
          </w:p>
        </w:tc>
      </w:tr>
      <w:tr w:rsidR="001E57EA" w:rsidRPr="001E57EA" w:rsidTr="00805D8D">
        <w:trPr>
          <w:trHeight w:val="193"/>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lastRenderedPageBreak/>
              <w:t>Razvojni efekat i doprinos mjere ostvarenju prioriteta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numPr>
                <w:ilvl w:val="0"/>
                <w:numId w:val="20"/>
              </w:numPr>
              <w:spacing w:before="40" w:after="40"/>
              <w:ind w:left="284" w:hanging="284"/>
              <w:rPr>
                <w:rFonts w:ascii="Arial" w:eastAsia="EUAlbertina" w:hAnsi="Arial"/>
                <w:sz w:val="16"/>
                <w:szCs w:val="16"/>
                <w:lang w:val="hr-HR"/>
              </w:rPr>
            </w:pPr>
          </w:p>
        </w:tc>
      </w:tr>
      <w:tr w:rsidR="001E57EA" w:rsidRPr="001E57EA" w:rsidTr="00805D8D">
        <w:trPr>
          <w:trHeight w:val="441"/>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Indikativna finansijska konstrukcija sa izvorima finansiranja</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spacing w:before="40" w:after="40"/>
              <w:ind w:left="624" w:hanging="624"/>
              <w:rPr>
                <w:rFonts w:ascii="Arial" w:hAnsi="Arial"/>
                <w:sz w:val="16"/>
                <w:szCs w:val="16"/>
                <w:lang w:val="hr-HR"/>
              </w:rPr>
            </w:pPr>
            <w:r w:rsidRPr="001E57EA">
              <w:rPr>
                <w:rFonts w:ascii="Arial" w:hAnsi="Arial"/>
                <w:sz w:val="16"/>
                <w:szCs w:val="16"/>
                <w:lang w:val="hr-HR"/>
              </w:rPr>
              <w:t xml:space="preserve">Iznos: </w:t>
            </w:r>
            <w:r w:rsidRPr="001E57EA">
              <w:rPr>
                <w:rFonts w:ascii="Arial" w:eastAsia="Times New Roman" w:hAnsi="Arial"/>
                <w:sz w:val="16"/>
                <w:szCs w:val="16"/>
                <w:lang w:val="sr-Latn-BA" w:eastAsia="en-GB"/>
              </w:rPr>
              <w:t>1.550.000</w:t>
            </w:r>
          </w:p>
          <w:p w:rsidR="007B07B6" w:rsidRPr="001E57EA" w:rsidRDefault="007B07B6" w:rsidP="006479F0">
            <w:pPr>
              <w:spacing w:before="40" w:after="40"/>
              <w:ind w:left="624" w:hanging="624"/>
              <w:rPr>
                <w:rFonts w:ascii="Arial" w:hAnsi="Arial"/>
                <w:b/>
                <w:sz w:val="16"/>
                <w:szCs w:val="16"/>
                <w:lang w:val="hr-HR"/>
              </w:rPr>
            </w:pPr>
            <w:r w:rsidRPr="001E57EA">
              <w:rPr>
                <w:rFonts w:ascii="Arial" w:hAnsi="Arial"/>
                <w:sz w:val="16"/>
                <w:szCs w:val="16"/>
                <w:lang w:val="hr-HR"/>
              </w:rPr>
              <w:t xml:space="preserve">Izvor: </w:t>
            </w:r>
            <w:r w:rsidRPr="001E57EA">
              <w:rPr>
                <w:rFonts w:ascii="Arial" w:hAnsi="Arial"/>
                <w:sz w:val="16"/>
                <w:szCs w:val="16"/>
                <w:lang w:val="bs-Latn-BA"/>
              </w:rPr>
              <w:t>Budžet i donatorska sredstva</w:t>
            </w:r>
          </w:p>
        </w:tc>
      </w:tr>
      <w:tr w:rsidR="001E57EA" w:rsidRPr="001E57EA" w:rsidTr="00805D8D">
        <w:trPr>
          <w:trHeight w:val="282"/>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07B6" w:rsidRPr="001E57EA" w:rsidRDefault="007B07B6" w:rsidP="006479F0">
            <w:pPr>
              <w:spacing w:before="40" w:after="40"/>
              <w:rPr>
                <w:rFonts w:ascii="Arial" w:hAnsi="Arial"/>
                <w:b/>
                <w:bCs/>
                <w:sz w:val="16"/>
                <w:szCs w:val="16"/>
                <w:lang w:val="hr-HR"/>
              </w:rPr>
            </w:pPr>
            <w:r w:rsidRPr="001E57EA">
              <w:rPr>
                <w:rFonts w:ascii="Arial" w:hAnsi="Arial"/>
                <w:b/>
                <w:bCs/>
                <w:sz w:val="16"/>
                <w:szCs w:val="16"/>
                <w:lang w:val="hr-HR"/>
              </w:rPr>
              <w:t>Period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7B6" w:rsidRPr="001E57EA" w:rsidRDefault="007B07B6" w:rsidP="006479F0">
            <w:pPr>
              <w:spacing w:before="40" w:after="40"/>
              <w:ind w:left="624" w:hanging="624"/>
              <w:rPr>
                <w:rFonts w:ascii="Arial" w:hAnsi="Arial"/>
                <w:sz w:val="16"/>
                <w:szCs w:val="16"/>
                <w:lang w:val="hr-HR"/>
              </w:rPr>
            </w:pPr>
            <w:r w:rsidRPr="001E57EA">
              <w:rPr>
                <w:rFonts w:ascii="Arial" w:hAnsi="Arial"/>
                <w:sz w:val="16"/>
                <w:szCs w:val="16"/>
                <w:lang w:val="hr-HR"/>
              </w:rPr>
              <w:t>2024-2027</w:t>
            </w:r>
          </w:p>
        </w:tc>
      </w:tr>
      <w:tr w:rsidR="001E57EA" w:rsidRPr="001E57EA" w:rsidTr="00805D8D">
        <w:trPr>
          <w:trHeight w:val="496"/>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7455E" w:rsidRPr="001E57EA" w:rsidRDefault="0047455E" w:rsidP="0047455E">
            <w:pPr>
              <w:spacing w:before="40" w:after="40"/>
              <w:rPr>
                <w:rFonts w:ascii="Arial" w:hAnsi="Arial"/>
                <w:b/>
                <w:bCs/>
                <w:sz w:val="16"/>
                <w:szCs w:val="16"/>
                <w:lang w:val="hr-HR"/>
              </w:rPr>
            </w:pPr>
            <w:r w:rsidRPr="001E57EA">
              <w:rPr>
                <w:rFonts w:ascii="Arial" w:hAnsi="Arial"/>
                <w:b/>
                <w:bCs/>
                <w:sz w:val="16"/>
                <w:szCs w:val="16"/>
                <w:lang w:val="hr-HR"/>
              </w:rPr>
              <w:t>Institucija odgovorna za koordinaciju implementacije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455E" w:rsidRPr="001E57EA" w:rsidRDefault="0047455E" w:rsidP="0047455E">
            <w:pPr>
              <w:spacing w:before="40" w:after="40"/>
              <w:ind w:left="624" w:hanging="624"/>
              <w:rPr>
                <w:rFonts w:ascii="Arial" w:hAnsi="Arial"/>
                <w:sz w:val="16"/>
                <w:szCs w:val="16"/>
                <w:lang w:val="hr-HR"/>
              </w:rPr>
            </w:pPr>
            <w:r w:rsidRPr="001E57EA">
              <w:rPr>
                <w:rFonts w:ascii="Arial" w:hAnsi="Arial"/>
                <w:sz w:val="16"/>
                <w:szCs w:val="16"/>
                <w:lang w:val="hr-HR"/>
              </w:rPr>
              <w:t>Federalno ministarstvo pravde, Federalno ministarstvo unutrašnjih poslova</w:t>
            </w:r>
          </w:p>
        </w:tc>
      </w:tr>
      <w:tr w:rsidR="001E57EA" w:rsidRPr="001E57EA" w:rsidTr="00805D8D">
        <w:trPr>
          <w:trHeight w:val="420"/>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7455E" w:rsidRPr="001E57EA" w:rsidRDefault="0047455E" w:rsidP="0047455E">
            <w:pPr>
              <w:spacing w:before="40" w:after="40"/>
              <w:rPr>
                <w:rFonts w:ascii="Arial" w:hAnsi="Arial"/>
                <w:b/>
                <w:bCs/>
                <w:sz w:val="16"/>
                <w:szCs w:val="16"/>
                <w:lang w:val="hr-HR"/>
              </w:rPr>
            </w:pPr>
            <w:r w:rsidRPr="001E57EA">
              <w:rPr>
                <w:rFonts w:ascii="Arial" w:hAnsi="Arial"/>
                <w:b/>
                <w:bCs/>
                <w:sz w:val="16"/>
                <w:szCs w:val="16"/>
                <w:lang w:val="hr-HR"/>
              </w:rPr>
              <w:t>Nosioci mjere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455E" w:rsidRPr="001E57EA" w:rsidRDefault="0047455E" w:rsidP="0047455E">
            <w:pPr>
              <w:spacing w:before="40" w:after="40"/>
              <w:ind w:left="624" w:hanging="624"/>
              <w:rPr>
                <w:rFonts w:ascii="Arial" w:hAnsi="Arial"/>
                <w:sz w:val="16"/>
                <w:szCs w:val="16"/>
                <w:lang w:val="hr-HR"/>
              </w:rPr>
            </w:pPr>
            <w:r w:rsidRPr="001E57EA">
              <w:rPr>
                <w:rFonts w:ascii="Arial" w:hAnsi="Arial"/>
                <w:sz w:val="16"/>
                <w:szCs w:val="16"/>
                <w:lang w:val="hr-HR"/>
              </w:rPr>
              <w:t>Federalno ministarstvo pravde, Federalno ministarstvo unutrašnjih poslova</w:t>
            </w:r>
          </w:p>
        </w:tc>
      </w:tr>
      <w:tr w:rsidR="001E57EA" w:rsidRPr="001E57EA" w:rsidTr="00805D8D">
        <w:trPr>
          <w:trHeight w:val="129"/>
          <w:jc w:val="center"/>
        </w:trPr>
        <w:tc>
          <w:tcPr>
            <w:tcW w:w="13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7455E" w:rsidRPr="001E57EA" w:rsidRDefault="0047455E" w:rsidP="0047455E">
            <w:pPr>
              <w:spacing w:before="40" w:after="40"/>
              <w:jc w:val="both"/>
              <w:rPr>
                <w:rFonts w:ascii="Arial" w:hAnsi="Arial"/>
                <w:b/>
                <w:bCs/>
                <w:sz w:val="16"/>
                <w:szCs w:val="16"/>
                <w:lang w:val="hr-HR"/>
              </w:rPr>
            </w:pPr>
            <w:r w:rsidRPr="001E57EA">
              <w:rPr>
                <w:rFonts w:ascii="Arial" w:hAnsi="Arial"/>
                <w:b/>
                <w:bCs/>
                <w:sz w:val="16"/>
                <w:szCs w:val="16"/>
                <w:lang w:val="hr-HR"/>
              </w:rPr>
              <w:t>Ciljne grupe</w:t>
            </w:r>
          </w:p>
        </w:tc>
        <w:tc>
          <w:tcPr>
            <w:tcW w:w="366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455E" w:rsidRPr="001E57EA" w:rsidRDefault="0047455E" w:rsidP="0047455E">
            <w:pPr>
              <w:spacing w:before="40" w:after="40"/>
              <w:rPr>
                <w:rFonts w:ascii="Arial" w:hAnsi="Arial"/>
                <w:sz w:val="16"/>
                <w:szCs w:val="16"/>
                <w:lang w:val="hr-HR"/>
              </w:rPr>
            </w:pPr>
            <w:r w:rsidRPr="001E57EA">
              <w:rPr>
                <w:rFonts w:ascii="Arial" w:hAnsi="Arial"/>
                <w:sz w:val="16"/>
                <w:szCs w:val="16"/>
                <w:lang w:val="hr-HR"/>
              </w:rPr>
              <w:t>Građani/ke i uposlenici/ce u nadležnim institucijama i organizacijama</w:t>
            </w:r>
          </w:p>
        </w:tc>
      </w:tr>
    </w:tbl>
    <w:p w:rsidR="007B07B6" w:rsidRPr="001E57EA" w:rsidRDefault="007B07B6">
      <w:pPr>
        <w:spacing w:after="0"/>
        <w:rPr>
          <w:rFonts w:ascii="Arial" w:hAnsi="Arial"/>
          <w:lang w:val="bs-Latn-BA"/>
        </w:rPr>
      </w:pPr>
    </w:p>
    <w:p w:rsidR="00841C40" w:rsidRPr="001E57EA" w:rsidRDefault="00841C40" w:rsidP="005535F2">
      <w:pPr>
        <w:spacing w:after="0"/>
        <w:rPr>
          <w:rFonts w:ascii="Arial" w:hAnsi="Arial"/>
          <w:lang w:val="bs-Latn-BA"/>
        </w:rPr>
      </w:pPr>
    </w:p>
    <w:sectPr w:rsidR="00841C40" w:rsidRPr="001E57EA" w:rsidSect="008C58F5">
      <w:footerReference w:type="default" r:id="rId9"/>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1E" w:rsidRDefault="00544F1E" w:rsidP="00FA3AF1">
      <w:pPr>
        <w:spacing w:after="0"/>
      </w:pPr>
      <w:r>
        <w:separator/>
      </w:r>
    </w:p>
  </w:endnote>
  <w:endnote w:type="continuationSeparator" w:id="0">
    <w:p w:rsidR="00544F1E" w:rsidRDefault="00544F1E" w:rsidP="00FA3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 Ciril">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FDinTextCondPro-Regular">
    <w:altName w:val="Arial Unicode MS"/>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EUAlbertina">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BB" w:rsidRPr="0045691C" w:rsidRDefault="00707FBB">
    <w:pPr>
      <w:pStyle w:val="Footer"/>
      <w:jc w:val="center"/>
      <w:rPr>
        <w:rFonts w:ascii="Arial" w:hAnsi="Arial"/>
      </w:rPr>
    </w:pPr>
    <w:r w:rsidRPr="0045691C">
      <w:rPr>
        <w:rFonts w:ascii="Arial" w:hAnsi="Arial"/>
      </w:rPr>
      <w:fldChar w:fldCharType="begin"/>
    </w:r>
    <w:r w:rsidRPr="0045691C">
      <w:rPr>
        <w:rFonts w:ascii="Arial" w:hAnsi="Arial"/>
      </w:rPr>
      <w:instrText xml:space="preserve"> PAGE   \* MERGEFORMAT </w:instrText>
    </w:r>
    <w:r w:rsidRPr="0045691C">
      <w:rPr>
        <w:rFonts w:ascii="Arial" w:hAnsi="Arial"/>
      </w:rPr>
      <w:fldChar w:fldCharType="separate"/>
    </w:r>
    <w:r w:rsidR="00F35483">
      <w:rPr>
        <w:rFonts w:ascii="Arial" w:hAnsi="Arial"/>
        <w:noProof/>
      </w:rPr>
      <w:t>2</w:t>
    </w:r>
    <w:r w:rsidRPr="0045691C">
      <w:rPr>
        <w:rFonts w:ascii="Arial" w:hAnsi="Arial"/>
        <w:noProof/>
      </w:rPr>
      <w:fldChar w:fldCharType="end"/>
    </w:r>
  </w:p>
  <w:p w:rsidR="00707FBB" w:rsidRPr="0045691C" w:rsidRDefault="00707FBB">
    <w:pPr>
      <w:pStyle w:val="Footer"/>
      <w:rPr>
        <w:rFonts w:ascii="Arial" w:hAnsi="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1E" w:rsidRDefault="00544F1E" w:rsidP="00FA3AF1">
      <w:pPr>
        <w:spacing w:after="0"/>
      </w:pPr>
      <w:r>
        <w:separator/>
      </w:r>
    </w:p>
  </w:footnote>
  <w:footnote w:type="continuationSeparator" w:id="0">
    <w:p w:rsidR="00544F1E" w:rsidRDefault="00544F1E" w:rsidP="00FA3AF1">
      <w:pPr>
        <w:spacing w:after="0"/>
      </w:pPr>
      <w:r>
        <w:continuationSeparator/>
      </w:r>
    </w:p>
  </w:footnote>
  <w:footnote w:id="1">
    <w:p w:rsidR="00707FBB" w:rsidRPr="001E57EA" w:rsidRDefault="00707FBB" w:rsidP="0053195E">
      <w:pPr>
        <w:pStyle w:val="FootnoteText"/>
        <w:jc w:val="both"/>
        <w:rPr>
          <w:rFonts w:ascii="Arial" w:hAnsi="Arial"/>
          <w:sz w:val="14"/>
          <w:szCs w:val="14"/>
        </w:rPr>
      </w:pPr>
      <w:r w:rsidRPr="001E57EA">
        <w:rPr>
          <w:rStyle w:val="FootnoteReference"/>
          <w:rFonts w:ascii="Arial" w:hAnsi="Arial"/>
          <w:sz w:val="14"/>
          <w:szCs w:val="14"/>
        </w:rPr>
        <w:footnoteRef/>
      </w:r>
      <w:r w:rsidRPr="001E57EA">
        <w:rPr>
          <w:rFonts w:ascii="Arial" w:hAnsi="Arial"/>
          <w:sz w:val="14"/>
          <w:szCs w:val="14"/>
        </w:rPr>
        <w:t xml:space="preserve"> Konvencija Vijeća Evrope o sprečavanju i borbi protiv nasilja nad ženama i nasilja u porodici - Istanbulska konvencija („Službeni glasnik BiH“, broj 19/13). Nakon evaluacijske posjete Grupe eksperata Vijeća Evrope za borbu i sprječavanje nasilja nad ženama i nasilja u porodici (GREVIO) usvojen je Izvještaj za Bosnu i Hercegovinu o zakonodavnim i drugim mjerama poduzetim za provedbu odredbi Konvencije Vijeća Evrope o sprječavanju i borbi protiv nasilja nad ženama i nasilja u porodici (Istanbulska konvencija) koji je usvojen na 27. sastanku GREVIO komiteta održanog 20.-24.06.2022. godine. Komitet potpisnica Konvencije Vijeća Evrope o sprječavanju i borbi protiv nasilja nad ženama i nasilja u porodici (Istanbulska konvencija) je 6.12.2022. godine usvojio, a 12.12.2022. godine objavio Preporuke o implementaciji Istanbulske konvencije.</w:t>
      </w:r>
    </w:p>
  </w:footnote>
  <w:footnote w:id="2">
    <w:p w:rsidR="00707FBB" w:rsidRPr="001E57EA" w:rsidRDefault="00707FBB" w:rsidP="0053195E">
      <w:pPr>
        <w:pStyle w:val="FootnoteText"/>
        <w:jc w:val="both"/>
        <w:rPr>
          <w:rFonts w:ascii="Arial" w:hAnsi="Arial"/>
          <w:sz w:val="14"/>
          <w:szCs w:val="14"/>
        </w:rPr>
      </w:pPr>
      <w:r w:rsidRPr="001E57EA">
        <w:rPr>
          <w:rStyle w:val="FootnoteReference"/>
          <w:rFonts w:ascii="Arial" w:hAnsi="Arial"/>
          <w:sz w:val="14"/>
          <w:szCs w:val="14"/>
        </w:rPr>
        <w:footnoteRef/>
      </w:r>
      <w:r w:rsidRPr="001E57EA">
        <w:rPr>
          <w:rFonts w:ascii="Arial" w:hAnsi="Arial"/>
          <w:sz w:val="14"/>
          <w:szCs w:val="14"/>
        </w:rPr>
        <w:t xml:space="preserve"> Konvencija o eliminaciji svih oblika diskriminacije žena - CEDAW (Res 34/180) usvojena je na Generalnoj skupštini Ujedinjenih naroda 18. decembra 1979. godine kao prvi sveobuhvatni međunađrodno priznati dokument o pravima žena. Na snagu je stupila, kao međunarodni ugovor, 03. septembra1981. godine, nakon što ju je ratificiralo dvadeset zemalja. Trenutno, 187 zemalja članica Ujedinjenih naroda pristupilo je Konvenciji, a među njima je i Bosna i Hercegovina.</w:t>
      </w:r>
    </w:p>
  </w:footnote>
  <w:footnote w:id="3">
    <w:p w:rsidR="00707FBB" w:rsidRPr="001E57EA" w:rsidRDefault="00707FBB" w:rsidP="0053195E">
      <w:pPr>
        <w:pStyle w:val="FootnoteText"/>
        <w:jc w:val="both"/>
        <w:rPr>
          <w:rFonts w:ascii="Arial" w:hAnsi="Arial"/>
          <w:sz w:val="14"/>
          <w:szCs w:val="14"/>
        </w:rPr>
      </w:pPr>
      <w:r w:rsidRPr="001E57EA">
        <w:rPr>
          <w:rStyle w:val="FootnoteReference"/>
          <w:rFonts w:ascii="Arial" w:hAnsi="Arial"/>
          <w:sz w:val="14"/>
          <w:szCs w:val="14"/>
        </w:rPr>
        <w:footnoteRef/>
      </w:r>
      <w:r w:rsidRPr="001E57EA">
        <w:rPr>
          <w:rFonts w:ascii="Arial" w:hAnsi="Arial"/>
          <w:sz w:val="14"/>
          <w:szCs w:val="14"/>
        </w:rPr>
        <w:t xml:space="preserve"> http://www.ccbh.ba/public/down/USTAV_BOSNE_I_HERCEGOVINE_bos.pdf</w:t>
      </w:r>
    </w:p>
  </w:footnote>
  <w:footnote w:id="4">
    <w:p w:rsidR="00707FBB" w:rsidRPr="001E57EA" w:rsidRDefault="00707FBB" w:rsidP="00D80CF5">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rPr>
        <w:t xml:space="preserve"> Konvencija Vijeća Evrope o sprečavanju i borbi protiv nasilja nad ženama i nasilja u porodici - Istanbulska konvencija („Službeni glasnik BiH“, broj 19/13).</w:t>
      </w:r>
    </w:p>
  </w:footnote>
  <w:footnote w:id="5">
    <w:p w:rsidR="00707FBB" w:rsidRPr="001E57EA" w:rsidRDefault="00707FBB" w:rsidP="00D80CF5">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Konvencija o eliminaciji svih oblika diskriminacije žena - CEDAW (Res 34/180)</w:t>
      </w:r>
    </w:p>
  </w:footnote>
  <w:footnote w:id="6">
    <w:p w:rsidR="00707FBB" w:rsidRPr="001E57EA" w:rsidRDefault="00707FBB" w:rsidP="00D80CF5">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Zakon o ravnopravnosti spolova u Bosni i Hercegovini, („Službeni glasnik BiH“, broj 32/10)</w:t>
      </w:r>
    </w:p>
  </w:footnote>
  <w:footnote w:id="7">
    <w:p w:rsidR="00707FBB" w:rsidRPr="001E57EA" w:rsidRDefault="00707FBB" w:rsidP="00D80CF5">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Krivični zakon Federacije Bosne i Hercegovine („Službene novine Federacije BiH“, broj 36/03, 37/03, 21/04, 69/04, 18/05, 42/10, 42/11, 59/14, 76/14, 46/16 i 75/17),</w:t>
      </w:r>
    </w:p>
  </w:footnote>
  <w:footnote w:id="8">
    <w:p w:rsidR="00707FBB" w:rsidRPr="001E57EA" w:rsidRDefault="00707FBB" w:rsidP="00D80CF5">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Zakon o zaštiti od nasilja u porodici („Službene novine Federacije BiH, br. 20/13 i 75/21)</w:t>
      </w:r>
    </w:p>
  </w:footnote>
  <w:footnote w:id="9">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Kovač, R., Hrnčić, Z., Pilav, A., Poturković, M., Memić, F., Avdukić, N. i Balavac, M. (2018): Impact Evaluation of Mandatory Protective Measures on Domestic Violence, Evaluation Society in Bosnia and Herzegovina, USMEASURE, Sarajevo, str. 31.</w:t>
      </w:r>
    </w:p>
  </w:footnote>
  <w:footnote w:id="10">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Kovač, R., Hrnčić, Z., Pilav, A., Poturković, M., Memić, F., Avdukić, N. i Balavac, M. (2018): Impact Evaluation of Mandatory Protective Measures on Domestic Violence, Evaluation Society in Bosnia and Herzegovina, USMEASURE, Sarajevo, str. 27.</w:t>
      </w:r>
    </w:p>
  </w:footnote>
  <w:footnote w:id="11">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OSCE (2019). Dobrobit i sigurnost žena, Istraživanje o nasilju nad ženama u Bosni i Hercegovini, OSCE, str. 3.</w:t>
      </w:r>
    </w:p>
  </w:footnote>
  <w:footnote w:id="12">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Ganley, A. L. (1998). Understanding domestic violence. In C. Warshaw &amp; A. L Ganley (Eds.), Improving the health care response to domestic violence: A resource manual for health care providers. San Francisco: Family Violence Prevention Fund, str. 372.</w:t>
      </w:r>
    </w:p>
  </w:footnote>
  <w:footnote w:id="13">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Kovač, R., Hrnčić, Z., Pilav, A., Poturković, M., Memić, F., Avdukić, N. i Balavac, M. (2018): Impact Evaluation of Mandatory Protective Measures on Domestic Violence, Evaluation Society in Bosnia and Herzegovina, USMEASURE, Sarajevo, str. 24.</w:t>
      </w:r>
    </w:p>
  </w:footnote>
  <w:footnote w:id="14">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OSCE (2019). Dobrobit i sigurnost žena, Istraživanje o nasilju nad ženama u Bosni i Hercegovini, OSCE, str. 63.</w:t>
      </w:r>
    </w:p>
  </w:footnote>
  <w:footnote w:id="15">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Kovač, R., Hrnčić, Z., Pilav, A., Poturković, M., Memić, F., Avdukić, N. i Balavac, M. (2018): Impact Evaluation of Mandatory Protective Measures on Domestic Violence, Evaluation Society in Bosnia and Herzegovina, USMEASURE, Sarajevo, str. 26.</w:t>
      </w:r>
    </w:p>
  </w:footnote>
  <w:footnote w:id="16">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OSCE (2019). Dobrobit i sigurnost žena, Istraživanje o nasilju nad ženama u Bosni i Hercegovini, OSCE, str. 63.</w:t>
      </w:r>
    </w:p>
  </w:footnote>
  <w:footnote w:id="17">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Daisy, N.V., &amp; Hien, D.A. (2014). The Role of Dissociation in the Cycle of Violence. Journal of Family Violence, 29(2), 99–107.</w:t>
      </w:r>
    </w:p>
  </w:footnote>
  <w:footnote w:id="18">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OSCE (2019). Dobrobit i sigurnost žena, Istraživanje o nasilju nad ženama u Bosni i Hercegovini, OSCE.</w:t>
      </w:r>
    </w:p>
  </w:footnote>
  <w:footnote w:id="19">
    <w:p w:rsidR="00707FBB" w:rsidRPr="001E57EA" w:rsidRDefault="00707FBB">
      <w:pPr>
        <w:pStyle w:val="FootnoteText"/>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de-DE"/>
        </w:rPr>
        <w:t xml:space="preserve"> </w:t>
      </w:r>
      <w:r w:rsidRPr="001E57EA">
        <w:rPr>
          <w:rFonts w:ascii="Arial" w:hAnsi="Arial"/>
          <w:sz w:val="14"/>
          <w:szCs w:val="14"/>
          <w:lang w:val="bs-Latn-BA"/>
        </w:rPr>
        <w:t>Podaci OECD-a iz 2021. godine</w:t>
      </w:r>
    </w:p>
  </w:footnote>
  <w:footnote w:id="20">
    <w:p w:rsidR="00707FBB" w:rsidRPr="001E57EA" w:rsidRDefault="00707FBB" w:rsidP="0053195E">
      <w:pPr>
        <w:pStyle w:val="FootnoteText"/>
        <w:jc w:val="both"/>
        <w:rPr>
          <w:rFonts w:ascii="Arial" w:hAnsi="Arial"/>
          <w:sz w:val="14"/>
          <w:szCs w:val="14"/>
          <w:lang w:val="de-DE"/>
        </w:rPr>
      </w:pPr>
      <w:r w:rsidRPr="001E57EA">
        <w:rPr>
          <w:rStyle w:val="FootnoteReference"/>
          <w:rFonts w:ascii="Arial" w:hAnsi="Arial"/>
          <w:sz w:val="14"/>
          <w:szCs w:val="14"/>
        </w:rPr>
        <w:footnoteRef/>
      </w:r>
      <w:r w:rsidRPr="001E57EA">
        <w:rPr>
          <w:rFonts w:ascii="Arial" w:hAnsi="Arial"/>
          <w:sz w:val="14"/>
          <w:szCs w:val="14"/>
          <w:lang w:val="bs-Latn-BA"/>
        </w:rPr>
        <w:t xml:space="preserve"> Federalni zavod za statistiku. </w:t>
      </w:r>
      <w:r w:rsidRPr="001E57EA">
        <w:rPr>
          <w:rFonts w:ascii="Arial" w:hAnsi="Arial"/>
          <w:sz w:val="14"/>
          <w:szCs w:val="14"/>
          <w:lang w:val="de-DE"/>
        </w:rPr>
        <w:t>Statistički bilten br. 323. Predškolsko obrazovanje u 2020 u FBiH.</w:t>
      </w:r>
    </w:p>
  </w:footnote>
  <w:footnote w:id="21">
    <w:p w:rsidR="00707FBB" w:rsidRPr="001E57EA" w:rsidRDefault="00707FBB" w:rsidP="0053195E">
      <w:pPr>
        <w:pStyle w:val="FootnoteText"/>
        <w:jc w:val="both"/>
        <w:rPr>
          <w:rFonts w:ascii="Arial" w:hAnsi="Arial"/>
          <w:sz w:val="14"/>
          <w:szCs w:val="14"/>
          <w:lang w:val="de-DE"/>
        </w:rPr>
      </w:pPr>
      <w:r w:rsidRPr="001E57EA">
        <w:rPr>
          <w:rStyle w:val="FootnoteReference"/>
          <w:rFonts w:ascii="Arial" w:hAnsi="Arial"/>
          <w:sz w:val="14"/>
          <w:szCs w:val="14"/>
        </w:rPr>
        <w:footnoteRef/>
      </w:r>
      <w:r w:rsidRPr="001E57EA">
        <w:rPr>
          <w:rFonts w:ascii="Arial" w:hAnsi="Arial"/>
          <w:sz w:val="14"/>
          <w:szCs w:val="14"/>
          <w:lang w:val="de-DE"/>
        </w:rPr>
        <w:t xml:space="preserve"> Osnov za iintegrirano, interresorno djelovanje u oblasti ranog rasta i razvoja djece, predstavlja Strateški plan za unapređenje ranog rasta i razvoja djece u Federaciji BiH 2020-2025. godine. Vlada Federacije Bosne i Hercegovine usvojila je Strateški plan za unapređenje ranog rasta i razvoja djece u Federaciji BiH 2020-2025. godine, na 242. sjednici, održanoj 05.11.2020. godine, te zadužila Federalno ministarstvo obrazovanja i nauke da, u saradnji sa federalnim ministarstvima zdravstva, rada i socijalne politike te finansija, kao i Zavodom za javno zdravstvo Federacije Bosne i Hercegovine i UNICEF-om BiH, koordinira realizacijom aktivnosti koje su u njemu planirane.</w:t>
      </w:r>
    </w:p>
  </w:footnote>
  <w:footnote w:id="22">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w:t>
      </w:r>
      <w:r w:rsidRPr="001E57EA">
        <w:rPr>
          <w:rFonts w:ascii="Arial" w:eastAsia="Times New Roman" w:hAnsi="Arial"/>
          <w:sz w:val="14"/>
          <w:szCs w:val="14"/>
          <w:lang w:val="bs-Latn-BA"/>
        </w:rPr>
        <w:t>Na nivou Bosne i Hercegovine doneseni su:</w:t>
      </w:r>
      <w:r w:rsidRPr="001E57EA">
        <w:rPr>
          <w:rFonts w:ascii="Arial" w:eastAsia="Times New Roman" w:hAnsi="Arial"/>
          <w:sz w:val="14"/>
          <w:szCs w:val="14"/>
          <w:lang w:val="bs-Latn-BA" w:eastAsia="zh-CN"/>
        </w:rPr>
        <w:t xml:space="preserve"> Okvirni zakon o predškolskom odgoju i obrazovanju u Bosni i Hercegovini („Službeni glasnik BiH“ br. 88/07), Okvirni zakon o osnovnom i srednjem obrazovanju u Bosni i Hercegovini („Službeni glasnik BiH“ br. 18/03), Okvirni zakon o srednjem stručnom obrazovanju i obuci u BiH („Službeni glasnik BiH“ br. 63/08), Okvirni zakon o visokom obrazovanju u Bosni i Hercegovini („Službeni glasnik BiH“ br. 59/07 i 59/09, a na kantonalnom nivou uslijedilo je njihovo usaglašavanje.</w:t>
      </w:r>
    </w:p>
  </w:footnote>
  <w:footnote w:id="23">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Kao razlog za prekidanje školovanja u 8,47% slučajeva se navodi loš uspjeh, 19,77% socijalni razlozi, 44,07% ekonomski razlozi i 27,68% lični razlozi.Kada je riječ o srednjem obrazovanju, u školskoj 2019/2020. godini, 1.161 učenik je promijenio školu, dok je 401 učenik (od toga 38,9% učenica) prekinuo školovanje. Kao razlog za prekidanje školovanja u 45,64% slučajeva se navodi loš uspjeh, 8,48% socijalni razlozi, 3,24% ekonomski razlozi i 42,64% lični razlozi. (Izvor: Federalni zavod za statistiku. Statistički bilten br.312/2020).</w:t>
      </w:r>
    </w:p>
  </w:footnote>
  <w:footnote w:id="24">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Kroz program „Podrška školovanju djece romske nacionalnosti i drugih nacionalnih manjina i socijalno ugroženih kategorija“ i dodjeljuju se sredstava za podršku osnovnim, srednjim školama, stručnim udruženjima i općinama u realizaciji programa školovanja djece romske nacionalnosti, te daje podsticaj školovanju učenika kroz jednokratnu finansijsku podršku i podršku obrazovanju odraslih Roma putem vanrednog školovanja ili druge vrste opismenjavanja i edukacije. U okviru Transfera za finansiranje proširenog studentskog standarda realizira se program „Podsticaj školovanju Roma, državljana Bosne i Hercegovine“ koji studiraju na javnim visokoškolskim ustanovama u Federaciji Bosne i Hercegovine.</w:t>
      </w:r>
    </w:p>
  </w:footnote>
  <w:footnote w:id="25">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Radi modernizacije i rasterećivanja Okvirnog nastavnog plana i programa za devetogodišnju osnovnu školu u Federaciji BiH, Koordinacija ministara obrazovanja i nauke u Federaciji BiH pokrenula je proces njegove analize i revizije sa posebnim akcentom na uspostavljanje jače korelacije između pojedinih predmeta, redukcije nepotrebne faktografije, te prilagođavanja nastavnih sadržaja uzrasnim mogućnostima djeteta. Posebno značajan aspekt u ovom procesu je i analiza zastupljenosti rodne osjetljivosti kako u nastavnim sadržajima, tako i u udžbenicima koji su usklađeni sa Okvirnim nastavnim planom i programom za devetogodišnju osnovnu školu u Federaciji BiH. Cilj je, između ostalog, dobiti rodno osjetljive i nestereotipizirane nastavne planove i programe i prateće udžbenike.</w:t>
      </w:r>
    </w:p>
  </w:footnote>
  <w:footnote w:id="26">
    <w:p w:rsidR="00707FBB" w:rsidRPr="001E57EA" w:rsidRDefault="00707FBB" w:rsidP="00F6253F">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Programi zapošljavanja: Prvo radno iskustvo, Prilika za sve, Periodično zapošljavanje, Zapošljavanje žena, Doprinos 500, Nova prilika, Javni radovi i Tražim poslodavca</w:t>
      </w:r>
    </w:p>
  </w:footnote>
  <w:footnote w:id="27">
    <w:p w:rsidR="00707FBB" w:rsidRPr="001E57EA" w:rsidRDefault="00707FBB" w:rsidP="00F6253F">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Izvještaj o monitoringu ostvarenih strateških ciljeva i analizi trendova tokom implementacije Akcionog plana za provedbu Strategije za prevenciju i borbu protiv nasilja u porodici u 2019. godini.</w:t>
      </w:r>
    </w:p>
  </w:footnote>
  <w:footnote w:id="28">
    <w:p w:rsidR="00707FBB" w:rsidRPr="001E57EA" w:rsidRDefault="00707FBB" w:rsidP="009B7E87">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Regulirano Pravilnikom o načinu i mjestu provedbe zaštitne mjere obaveznog psihosocijalnog tretmana počinilaca nasilja u porodici („Službene novine Federacije BiH“, broj 63/17).</w:t>
      </w:r>
    </w:p>
  </w:footnote>
  <w:footnote w:id="29">
    <w:p w:rsidR="00707FBB" w:rsidRPr="001E57EA" w:rsidRDefault="00707FBB" w:rsidP="009B7E87">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Regulirano Pravilnikom o načinu i mjestu provedbe zaštitne mjere obveznog liječenja od ovisnosti  počinitelja nasilja u porodici („Službene novine Federacije BiH“, broj 99/15).</w:t>
      </w:r>
    </w:p>
  </w:footnote>
  <w:footnote w:id="30">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Zaštitne mjere u nadležnosti policije su: udaljenje iz stana, kuće ili nekog drugog stambenog prostora i zabrana vraćanja u stan, kuću ili neki drugi stambeni prostor; zabrana približavanja žrtvi nasilja; zabrana uznemiravanja i uhođenja osobe izložene nasilju; privremeno lišenje slobode i zadržavanje.</w:t>
      </w:r>
    </w:p>
  </w:footnote>
  <w:footnote w:id="31">
    <w:p w:rsidR="00707FBB" w:rsidRPr="001E57EA" w:rsidRDefault="00707FBB" w:rsidP="009B7E87">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Regulirano Pravilnikom o načinu provođenja zaštitnih mjera za počinioce nasilja u porodici koje su u nadležnosti policije</w:t>
      </w:r>
      <w:r w:rsidRPr="001E57EA">
        <w:rPr>
          <w:rFonts w:ascii="Arial" w:hAnsi="Arial"/>
          <w:sz w:val="28"/>
          <w:szCs w:val="28"/>
          <w:lang w:val="bs-Latn-BA"/>
        </w:rPr>
        <w:t xml:space="preserve"> </w:t>
      </w:r>
      <w:r w:rsidRPr="001E57EA">
        <w:rPr>
          <w:rFonts w:ascii="Arial" w:hAnsi="Arial"/>
          <w:sz w:val="14"/>
          <w:szCs w:val="14"/>
          <w:lang w:val="bs-Latn-BA"/>
        </w:rPr>
        <w:t>(„Službene novine Federacije BiH“, br. 19/14 i 95/18).</w:t>
      </w:r>
    </w:p>
  </w:footnote>
  <w:footnote w:id="32">
    <w:p w:rsidR="00707FBB" w:rsidRPr="001E57EA" w:rsidRDefault="00707FBB" w:rsidP="00990774">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Regulirano Pravilnikom o sadržaju i načinu vođenja evidencije o izrečenim zaštitnim mjerama osobama koje su štićene zaštitnom mjerom i o nasilnim osobama kojima su izrečene zaštitne mjere („Službene novine Federacije BiH“, broj 95/13).</w:t>
      </w:r>
    </w:p>
    <w:p w:rsidR="00707FBB" w:rsidRPr="001E57EA" w:rsidRDefault="00707FBB" w:rsidP="009B7E87">
      <w:pPr>
        <w:pStyle w:val="FootnoteText"/>
        <w:jc w:val="both"/>
        <w:rPr>
          <w:rFonts w:ascii="Arial" w:hAnsi="Arial"/>
          <w:sz w:val="14"/>
          <w:szCs w:val="14"/>
          <w:lang w:val="bs-Latn-BA"/>
        </w:rPr>
      </w:pPr>
    </w:p>
  </w:footnote>
  <w:footnote w:id="33">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Korisnici socijalne zaštite u smislu ovog zakona su lica koja se nalaze u stanju socijalne potrebe i to: djeca bez roditeljskog staranja, odgojno zanemarena djeca, odgojno zapuštena djeca, djeca čiji je razvoj ometen porodičnim prilikama, lica sa invaliditetom i lica ometena u fizičkom ili psihičkom razvoju, materijalno neosigurana i za rad nesposobna lica, stara lica bez porodičnog staranja, lica sa društveno negativnim ponašanjem, lica i porodice u stanju socijalne potrebe, kojima je uslijed posebnih okolnosti potreban odgovarajuci oblik socijalne zaštite (član 12. stav 1. Zakona).</w:t>
      </w:r>
    </w:p>
  </w:footnote>
  <w:footnote w:id="34">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Kanton Sarajevo, Tuzlanski kanton, Zeničko-dobojski kanton i Zapadno-hercegovački kanton.</w:t>
      </w:r>
    </w:p>
  </w:footnote>
  <w:footnote w:id="35">
    <w:p w:rsidR="00707FBB" w:rsidRPr="001E57EA" w:rsidRDefault="00707FBB" w:rsidP="00990774">
      <w:pPr>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Zakon o materijalnoj podršci porodicama sa djecom u Federaciji Bosne i Hercegovine („Službene novne FBiH“ broj 52/22) i Zakon o ustanovama socijalne zaštite Federacije Bosne i Hercegovine („Službene novine FBiH“ broj 64/22).</w:t>
      </w:r>
    </w:p>
  </w:footnote>
  <w:footnote w:id="36">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w:t>
      </w:r>
      <w:r w:rsidRPr="001E57EA">
        <w:rPr>
          <w:rFonts w:ascii="Arial" w:hAnsi="Arial"/>
          <w:i/>
          <w:sz w:val="14"/>
          <w:szCs w:val="14"/>
          <w:lang w:val="bs-Latn-BA"/>
        </w:rPr>
        <w:t>Jačanje odgovora zdravstvenog sistema na rodno zasnovano nasilje u Istočnoj Evropi i Centralnoj Aziji – Resursni paket</w:t>
      </w:r>
      <w:r w:rsidRPr="001E57EA">
        <w:rPr>
          <w:rFonts w:ascii="Arial" w:eastAsia="PFDinTextCondPro-Regular" w:hAnsi="Arial"/>
          <w:sz w:val="14"/>
          <w:szCs w:val="14"/>
          <w:lang w:val="bs-Latn-BA" w:eastAsia="bs-Latn-BA"/>
        </w:rPr>
        <w:t>, str. 31.</w:t>
      </w:r>
    </w:p>
  </w:footnote>
  <w:footnote w:id="37">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Donesen je državni Zakon o pružanju besplatne pravne pomoći („Službeni glasnik BiH“, broj 83/16), a kada je riječ o kantonima, jedino u Srednjobosanskom kantonu nije donesen zakon o besplatnoj pravnoj pomoći. U vezi s tim, osim donošenja zakona u ovom kantonu potrebno je formirati i Ured za pružnje besplatne prave pomoći.</w:t>
      </w:r>
    </w:p>
  </w:footnote>
  <w:footnote w:id="38">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Zakonom o advokaturi Federacije Bosne i Hercegovine („Službene novine Federacije BiH“, br. 40/02, 29/03, 18/05, 68/05 i 42/11) uređena organizacija i položaj advokata koji osigurava pružanje stručne pravne pomoći fizičkim i pravnim osobama u ostvarivanju i zaštiti njihovih prava, obaveza i pravnih interesa.</w:t>
      </w:r>
    </w:p>
  </w:footnote>
  <w:footnote w:id="39">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Finansiranje nevladinih pružaoca besplatne pravne pomoći predviđeno je zakonima u Kantonu Sarajevo, Bosansko-podrinjskom kantonu, Hercegovačko-neretvanskom kanotnu, Kantonu 10 i Zeničko-dobojskom kantonu.</w:t>
      </w:r>
    </w:p>
  </w:footnote>
  <w:footnote w:id="40">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Nevladine organizacije Fondacija loklane demokratije – Sarajevo, Centar ženskih prava – Zenica i Vaša Prava.</w:t>
      </w:r>
    </w:p>
  </w:footnote>
  <w:footnote w:id="41">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Konvencija Vijeća Evrope o sprečavanju i borbi protiv nasilja nad ženama i nasilja u porodici - Istanbulska konvencija („Službeni glasnik BiH“, broj 19/13)</w:t>
      </w:r>
    </w:p>
  </w:footnote>
  <w:footnote w:id="42">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Sigurne kuće djeluju unutar nevladinih organizacija: „Fondacija lokalne demokratije“ – Sarajevo, Udruženje građana „Vive Žene“ – Tuzla, Udruženje „Žene sa Une“ – Bihać, Udruženje građana „Medica“ – Zenica i Udruženje „Žena BiH“- Mostar.</w:t>
      </w:r>
    </w:p>
  </w:footnote>
  <w:footnote w:id="43">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Prema dostavljenim izvještajima korisnika sredstava iz ovog Transfera osigurana je zaštita i zbrinjavanje za ukupno 270 žrtava nasilja u porodici u sigurnim kućama tokom 2020. godine.</w:t>
      </w:r>
    </w:p>
  </w:footnote>
  <w:footnote w:id="44">
    <w:p w:rsidR="00707FBB" w:rsidRPr="001E57EA" w:rsidRDefault="00707FBB" w:rsidP="00453F80">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Zakon o dopunama Zakona o zaštiti od nasilja u porodici („Službene novine Federacije BiH“, broj 75/21)</w:t>
      </w:r>
    </w:p>
  </w:footnote>
  <w:footnote w:id="45">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Odnos nasilne osobe i žrtve – presjek trendova za period 2015-2020. godine iz elektronskih evidencija (ne obuhvata sve prijavljene slučajeve)</w:t>
      </w:r>
    </w:p>
  </w:footnote>
  <w:footnote w:id="46">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Krivični zakon Federacije Bosne i Hercegovine („Službene novine Federacije BiH“, broj 36/03, 37/03, 21/04, 69/04, 18/05, 42/10, 42/11, 59/14, 76/14, 46/16 i 75/17).</w:t>
      </w:r>
    </w:p>
  </w:footnote>
  <w:footnote w:id="47">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Kazne: dugotrajni zatvor, zatvor, uvjetno izrečena kazna zatvora, zatvor i novčana kazna, novčana kazna, zamjena kazne zatvora novčanom kaznom, zamjena zatvora radom za opće dobro, zamjena novčane kazne kaznom zatvora. Mjere upozorenja: Uvjetna osuda, sudski ukor i sudska opomena. Mjere sigurnosti: obavezno psihijatrijsko liječenje, obavezno liječenje od ovisnosti, zabrana obavljanja zvanja, djelatnosti ili dužnosti, zabrana upravljanja motornim vozilom, oduzimanje predmeta, oduzimanje imovinske koristi, rad za opće dobro na slobodi, smještaj u zdravstvenu ustanovu zbog psihičkih smetnji, upućivanje u vaspitni/odgojni/disciplinski centar na određen broj sati, zavodska mjera upućivanje u VOP dom, zavodska mjera upućivanje u VOP ustanovu, objava presude. Sankcije koje se izriču maloljetnicima: odgojne preporuke, odgojne mjere, maloljetnički zatvor.</w:t>
      </w:r>
    </w:p>
  </w:footnote>
  <w:footnote w:id="48">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Postoji kontinuitet donošenja strateških dokumenata, implementacije aktivnosti te izvještavanja prema ovom članu zakona. Naime, Vlada Federacije Bosne i Hercegovine, usvojila je Strategiju za prevenciju i borbu protiv nasilja u porodici (2013-2017) („Službene novine Federacije BiH“, broj: 22/13), godišnje akcione planove i izvještaje, kao i petogodišnji izvještaj o implementaciji Strategije. Također, donesen je i Akcioni plan za period 2018-2020. godine za koji su također usvajani izvještaji te donesena odluka za izradu novog strateškog dokumenta.</w:t>
      </w:r>
    </w:p>
  </w:footnote>
  <w:footnote w:id="49">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Postoji kontinuitet donošenja programa mjera na kantonalnom nivou, a s obzirom na to da se radi o dvogodišnjem planskom dokumentu, njegovo kontinuirano donošenje i implementacija ovisi o samom radu koordinacionog tijela koje imenuju pojedine kantonalne vlade.</w:t>
      </w:r>
    </w:p>
  </w:footnote>
  <w:footnote w:id="50">
    <w:p w:rsidR="00707FBB" w:rsidRPr="001E57EA" w:rsidRDefault="00707FBB" w:rsidP="0053195E">
      <w:pPr>
        <w:pStyle w:val="FootnoteText"/>
        <w:jc w:val="both"/>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w:t>
      </w:r>
      <w:r w:rsidRPr="001E57EA">
        <w:rPr>
          <w:rFonts w:ascii="Arial" w:hAnsi="Arial"/>
          <w:b/>
          <w:sz w:val="14"/>
          <w:szCs w:val="14"/>
          <w:lang w:val="bs-Latn-BA"/>
        </w:rPr>
        <w:t>KANTONALNI PROTOKOLI:</w:t>
      </w:r>
      <w:r w:rsidRPr="001E57EA">
        <w:rPr>
          <w:rFonts w:ascii="Arial" w:hAnsi="Arial"/>
          <w:sz w:val="14"/>
          <w:szCs w:val="14"/>
          <w:lang w:val="bs-Latn-BA"/>
        </w:rPr>
        <w:t xml:space="preserve"> Tuzlanski kanton, Kanton Sarajevo, Bosansko-podrinjski kanton, Zeničko-dobojski kanton, Kanton 10, Unsko-sanski kanton, Posavski kanton, Hercegovačko-neretvanski i Srednjobosanski kanton. Nedostaje: Zapadnohercegovački kanton.</w:t>
      </w:r>
    </w:p>
    <w:p w:rsidR="00707FBB" w:rsidRPr="001E57EA" w:rsidRDefault="00707FBB" w:rsidP="00BF3ED5">
      <w:pPr>
        <w:pStyle w:val="TekstStrategija"/>
        <w:rPr>
          <w:sz w:val="14"/>
          <w:szCs w:val="14"/>
        </w:rPr>
      </w:pPr>
      <w:r w:rsidRPr="001E57EA">
        <w:rPr>
          <w:b/>
          <w:sz w:val="14"/>
          <w:szCs w:val="14"/>
        </w:rPr>
        <w:t>OPĆINSKI PROTOKOLI:</w:t>
      </w:r>
      <w:r w:rsidRPr="001E57EA">
        <w:rPr>
          <w:sz w:val="14"/>
          <w:szCs w:val="14"/>
        </w:rPr>
        <w:t xml:space="preserve"> Tuzlanski kanton: Tuzla, Gračanica, Doboj Istok, Gradačac, Srebrenik, Banovići, Živinice, Kalesija, Teočak, Čelić, Sapna, Kladanj i Lukavac; Posavski kanton: Orašje, Odžak i Domaljevac/Šamac; Srednjobosanski kanton: Gornji Vakuf/Uskoplje, Donji Vakuf, Novi Travnik, Travnik, Kiseljak, Vitez, Kreševo, Fojnica, Jajce, Dobretići i Busovača; Zeničko-dobojski kanton: Zenica, Visoko, Kakanj, Olovo, Breza, Maglaj, Zavidovići, Usora, Doboj-Jug i Vareš.</w:t>
      </w:r>
    </w:p>
  </w:footnote>
  <w:footnote w:id="51">
    <w:p w:rsidR="00707FBB" w:rsidRPr="001E57EA" w:rsidRDefault="00707FBB" w:rsidP="00BF3ED5">
      <w:pPr>
        <w:pStyle w:val="TekstStrategija"/>
        <w:rPr>
          <w:sz w:val="14"/>
          <w:szCs w:val="14"/>
        </w:rPr>
      </w:pPr>
      <w:r w:rsidRPr="001E57EA">
        <w:rPr>
          <w:rStyle w:val="FootnoteReference"/>
          <w:sz w:val="14"/>
          <w:szCs w:val="14"/>
        </w:rPr>
        <w:footnoteRef/>
      </w:r>
      <w:r w:rsidRPr="001E57EA">
        <w:rPr>
          <w:sz w:val="14"/>
          <w:szCs w:val="14"/>
        </w:rPr>
        <w:t xml:space="preserve"> </w:t>
      </w:r>
      <w:r w:rsidRPr="001E57EA">
        <w:rPr>
          <w:b/>
          <w:sz w:val="14"/>
          <w:szCs w:val="14"/>
        </w:rPr>
        <w:t>KANTONALNA KOORDINACIONA TIJELA:</w:t>
      </w:r>
      <w:r w:rsidRPr="001E57EA">
        <w:rPr>
          <w:sz w:val="14"/>
          <w:szCs w:val="14"/>
        </w:rPr>
        <w:t xml:space="preserve"> Tuzlanski kanton, Kanton Sarajevo, Bosansko-podrinjski kanton, Zeničko-dobojski kanton, Kanton 10, Unsko-sanski kanton, Posavski kanton, Hercegovačko-neretvanski, Srednjobosanski kanton i Zapadnohercegovački kanton </w:t>
      </w:r>
    </w:p>
    <w:p w:rsidR="00707FBB" w:rsidRPr="001E57EA" w:rsidRDefault="00707FBB" w:rsidP="00990774">
      <w:pPr>
        <w:pStyle w:val="TekstStrategija"/>
        <w:rPr>
          <w:sz w:val="14"/>
          <w:szCs w:val="14"/>
        </w:rPr>
      </w:pPr>
      <w:r w:rsidRPr="001E57EA">
        <w:rPr>
          <w:b/>
          <w:sz w:val="14"/>
          <w:szCs w:val="14"/>
        </w:rPr>
        <w:t>OPĆINSKI MULTISEKTORSKI TIMOVI:</w:t>
      </w:r>
      <w:r w:rsidRPr="001E57EA">
        <w:rPr>
          <w:sz w:val="14"/>
          <w:szCs w:val="14"/>
        </w:rPr>
        <w:t xml:space="preserve"> Srednjobosanski kanton: Jajce, Gornji Vakuf/Uskoplje, Donji Vakuf, Novi Travnik, Travnik, Kiseljak, Vitez, Kreševo, Fojnica i Dobretići; Kanton 10: Kupres, Glamoč i Bosansko Grahovo, Tomislavgrad i Livno u proceduri; Hercegovačko-neretvanski kanton: Jablanica, Mostar, Konjic i Čapljina; Tuzlanski kanton: nisu zvanično formirani općinski MT, ali su u vezi sa općinskim protokolima i u skladu s tim imaju povremene sastanke i zajedničke aktivnosti; Posavski kanton: nisu zvanično formirani općinski MT, ali su u vezi sa općinskim protokolima i u skladu s tim imaju povremene sastanke i zajedničke aktivnosti; Zeničko-dobojski kanton: Breza, Zavidovići, Vares, Visoko,Maglaj, Kakanj i Zenica; Zapadnohercegovački kanton: Široki Brijeg je formirao MT, ali nisu završili proceduru, jer čekaju formiranje na kantonalnom nivou.</w:t>
      </w:r>
    </w:p>
  </w:footnote>
  <w:footnote w:id="52">
    <w:p w:rsidR="00707FBB" w:rsidRPr="001E57EA" w:rsidRDefault="00707FBB" w:rsidP="00990774">
      <w:pPr>
        <w:pStyle w:val="FootnoteText"/>
        <w:spacing w:line="276" w:lineRule="auto"/>
        <w:rPr>
          <w:rFonts w:ascii="Arial" w:hAnsi="Arial"/>
          <w:sz w:val="14"/>
          <w:szCs w:val="14"/>
          <w:lang w:val="bs-Latn-BA"/>
        </w:rPr>
      </w:pPr>
      <w:r w:rsidRPr="001E57EA">
        <w:rPr>
          <w:rStyle w:val="FootnoteReference"/>
          <w:rFonts w:ascii="Arial" w:hAnsi="Arial"/>
          <w:sz w:val="14"/>
          <w:szCs w:val="14"/>
        </w:rPr>
        <w:footnoteRef/>
      </w:r>
      <w:r w:rsidRPr="001E57EA">
        <w:rPr>
          <w:rFonts w:ascii="Arial" w:hAnsi="Arial"/>
          <w:sz w:val="14"/>
          <w:szCs w:val="14"/>
          <w:lang w:val="bs-Latn-BA"/>
        </w:rPr>
        <w:t xml:space="preserve"> DOB - Dokument okvirnog budžeta.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C24ECFE2"/>
    <w:lvl w:ilvl="0">
      <w:start w:val="1"/>
      <w:numFmt w:val="bullet"/>
      <w:lvlText w:val="-"/>
      <w:lvlJc w:val="left"/>
      <w:pPr>
        <w:ind w:left="720" w:hanging="360"/>
      </w:pPr>
      <w:rPr>
        <w:rFonts w:ascii="Cambria" w:eastAsia="Times New Roman"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A301B1"/>
    <w:multiLevelType w:val="multilevel"/>
    <w:tmpl w:val="231C2BE4"/>
    <w:lvl w:ilvl="0">
      <w:start w:val="1"/>
      <w:numFmt w:val="upperRoman"/>
      <w:pStyle w:val="1naslov"/>
      <w:lvlText w:val="%1."/>
      <w:lvlJc w:val="right"/>
      <w:pPr>
        <w:ind w:left="360" w:hanging="360"/>
      </w:pPr>
    </w:lvl>
    <w:lvl w:ilvl="1">
      <w:start w:val="1"/>
      <w:numFmt w:val="decimal"/>
      <w:pStyle w:val="2naslov"/>
      <w:isLgl/>
      <w:lvlText w:val="%1.%2."/>
      <w:lvlJc w:val="left"/>
      <w:pPr>
        <w:ind w:left="1146" w:hanging="720"/>
      </w:pPr>
      <w:rPr>
        <w:rFonts w:hint="default"/>
      </w:rPr>
    </w:lvl>
    <w:lvl w:ilvl="2">
      <w:start w:val="1"/>
      <w:numFmt w:val="decimal"/>
      <w:pStyle w:val="3naslov"/>
      <w:isLgl/>
      <w:lvlText w:val="%1.%2.%3."/>
      <w:lvlJc w:val="left"/>
      <w:pPr>
        <w:ind w:left="1004" w:hanging="720"/>
      </w:pPr>
      <w:rPr>
        <w:rFonts w:hint="default"/>
      </w:rPr>
    </w:lvl>
    <w:lvl w:ilvl="3">
      <w:start w:val="1"/>
      <w:numFmt w:val="decimal"/>
      <w:pStyle w:val="4naslov"/>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6669EA"/>
    <w:multiLevelType w:val="hybridMultilevel"/>
    <w:tmpl w:val="BBB497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825544"/>
    <w:multiLevelType w:val="multilevel"/>
    <w:tmpl w:val="6A9EC69C"/>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350678"/>
    <w:multiLevelType w:val="hybridMultilevel"/>
    <w:tmpl w:val="735E4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B6704"/>
    <w:multiLevelType w:val="multilevel"/>
    <w:tmpl w:val="502AAC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1C215F"/>
    <w:multiLevelType w:val="hybridMultilevel"/>
    <w:tmpl w:val="2B62C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96269"/>
    <w:multiLevelType w:val="hybridMultilevel"/>
    <w:tmpl w:val="B24EF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6E2A21"/>
    <w:multiLevelType w:val="hybridMultilevel"/>
    <w:tmpl w:val="C684471E"/>
    <w:lvl w:ilvl="0" w:tplc="B8CE2AD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62F88"/>
    <w:multiLevelType w:val="hybridMultilevel"/>
    <w:tmpl w:val="B2E8DF0C"/>
    <w:lvl w:ilvl="0" w:tplc="EEFCF1B2">
      <w:start w:val="3"/>
      <w:numFmt w:val="bullet"/>
      <w:lvlText w:val="-"/>
      <w:lvlJc w:val="left"/>
      <w:pPr>
        <w:ind w:left="720" w:hanging="360"/>
      </w:pPr>
      <w:rPr>
        <w:rFonts w:ascii="Calibri" w:eastAsia="Calibri" w:hAnsi="Calibri"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9E3959"/>
    <w:multiLevelType w:val="hybridMultilevel"/>
    <w:tmpl w:val="B394AE7E"/>
    <w:lvl w:ilvl="0" w:tplc="E65618DA">
      <w:start w:val="1"/>
      <w:numFmt w:val="bullet"/>
      <w:lvlText w:val=""/>
      <w:lvlJc w:val="left"/>
      <w:pPr>
        <w:ind w:left="720" w:hanging="360"/>
      </w:pPr>
      <w:rPr>
        <w:rFonts w:ascii="Symbol" w:hAnsi="Symbol" w:hint="default"/>
      </w:rPr>
    </w:lvl>
    <w:lvl w:ilvl="1" w:tplc="C32888FC">
      <w:numFmt w:val="bullet"/>
      <w:lvlText w:val="-"/>
      <w:lvlJc w:val="left"/>
      <w:pPr>
        <w:ind w:left="1260" w:hanging="180"/>
      </w:pPr>
      <w:rPr>
        <w:rFonts w:ascii="Arial" w:eastAsia="Times New Roman" w:hAnsi="Aria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2545DBA"/>
    <w:multiLevelType w:val="hybridMultilevel"/>
    <w:tmpl w:val="FD80D958"/>
    <w:lvl w:ilvl="0" w:tplc="025265BA">
      <w:numFmt w:val="bullet"/>
      <w:lvlText w:val="-"/>
      <w:lvlJc w:val="left"/>
      <w:pPr>
        <w:ind w:left="720" w:hanging="360"/>
      </w:pPr>
      <w:rPr>
        <w:rFonts w:ascii="Calibri" w:eastAsia="Times New Roman" w:hAnsi="Calibri" w:hint="default"/>
      </w:rPr>
    </w:lvl>
    <w:lvl w:ilvl="1" w:tplc="141A0003">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5AB7548"/>
    <w:multiLevelType w:val="hybridMultilevel"/>
    <w:tmpl w:val="D7124DB6"/>
    <w:lvl w:ilvl="0" w:tplc="9F726E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F27A20"/>
    <w:multiLevelType w:val="hybridMultilevel"/>
    <w:tmpl w:val="499A1854"/>
    <w:lvl w:ilvl="0" w:tplc="D6D417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B5FA5"/>
    <w:multiLevelType w:val="hybridMultilevel"/>
    <w:tmpl w:val="0F14DA42"/>
    <w:lvl w:ilvl="0" w:tplc="D152D80C">
      <w:start w:val="1"/>
      <w:numFmt w:val="bullet"/>
      <w:lvlText w:val="-"/>
      <w:lvlJc w:val="left"/>
      <w:pPr>
        <w:ind w:left="720" w:hanging="360"/>
      </w:pPr>
      <w:rPr>
        <w:rFonts w:ascii="Bookman Old Style" w:hAnsi="Bookman Old Style"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60654A71"/>
    <w:multiLevelType w:val="hybridMultilevel"/>
    <w:tmpl w:val="424836A4"/>
    <w:lvl w:ilvl="0" w:tplc="EEFCF1B2">
      <w:start w:val="3"/>
      <w:numFmt w:val="bullet"/>
      <w:lvlText w:val="-"/>
      <w:lvlJc w:val="left"/>
      <w:pPr>
        <w:ind w:left="720" w:hanging="360"/>
      </w:pPr>
      <w:rPr>
        <w:rFonts w:ascii="Calibri" w:eastAsia="Calibri"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E1210"/>
    <w:multiLevelType w:val="hybridMultilevel"/>
    <w:tmpl w:val="BF06D782"/>
    <w:lvl w:ilvl="0" w:tplc="93F0CB84">
      <w:start w:val="1"/>
      <w:numFmt w:val="bullet"/>
      <w:lvlText w:val=""/>
      <w:lvlJc w:val="left"/>
      <w:pPr>
        <w:ind w:left="720" w:hanging="360"/>
      </w:pPr>
      <w:rPr>
        <w:rFonts w:ascii="Symbol" w:hAnsi="Symbol" w:hint="default"/>
      </w:rPr>
    </w:lvl>
    <w:lvl w:ilvl="1" w:tplc="7E669A30">
      <w:start w:val="1"/>
      <w:numFmt w:val="bullet"/>
      <w:lvlText w:val="-"/>
      <w:lvlJc w:val="left"/>
      <w:pPr>
        <w:ind w:left="1440" w:hanging="360"/>
      </w:pPr>
      <w:rPr>
        <w:rFonts w:ascii="Times New Roman" w:eastAsia="Times New Roman" w:hAnsi="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771B09E0"/>
    <w:multiLevelType w:val="multilevel"/>
    <w:tmpl w:val="7BD2AD2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suff w:val="space"/>
      <w:lvlText w:val="%1.%2.%3."/>
      <w:lvlJc w:val="left"/>
      <w:pPr>
        <w:ind w:left="576" w:hanging="57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72806AB"/>
    <w:multiLevelType w:val="hybridMultilevel"/>
    <w:tmpl w:val="426EE378"/>
    <w:lvl w:ilvl="0" w:tplc="F2F6843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52158"/>
    <w:multiLevelType w:val="hybridMultilevel"/>
    <w:tmpl w:val="DB084752"/>
    <w:lvl w:ilvl="0" w:tplc="EEFCF1B2">
      <w:start w:val="3"/>
      <w:numFmt w:val="bullet"/>
      <w:lvlText w:val="-"/>
      <w:lvlJc w:val="left"/>
      <w:pPr>
        <w:ind w:left="720" w:hanging="360"/>
      </w:pPr>
      <w:rPr>
        <w:rFonts w:ascii="Calibri" w:eastAsia="Calibri"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61D61"/>
    <w:multiLevelType w:val="hybridMultilevel"/>
    <w:tmpl w:val="B2782006"/>
    <w:lvl w:ilvl="0" w:tplc="B7FCB498">
      <w:numFmt w:val="bullet"/>
      <w:lvlText w:val="-"/>
      <w:lvlJc w:val="left"/>
      <w:pPr>
        <w:ind w:left="720" w:hanging="360"/>
      </w:pPr>
      <w:rPr>
        <w:rFonts w:ascii="Times New Roman" w:eastAsia="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A33C6"/>
    <w:multiLevelType w:val="hybridMultilevel"/>
    <w:tmpl w:val="F216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A8F"/>
    <w:multiLevelType w:val="multilevel"/>
    <w:tmpl w:val="F5A452D0"/>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num w:numId="1">
    <w:abstractNumId w:val="6"/>
  </w:num>
  <w:num w:numId="2">
    <w:abstractNumId w:val="4"/>
  </w:num>
  <w:num w:numId="3">
    <w:abstractNumId w:val="20"/>
  </w:num>
  <w:num w:numId="4">
    <w:abstractNumId w:val="11"/>
  </w:num>
  <w:num w:numId="5">
    <w:abstractNumId w:val="16"/>
  </w:num>
  <w:num w:numId="6">
    <w:abstractNumId w:val="2"/>
  </w:num>
  <w:num w:numId="7">
    <w:abstractNumId w:val="10"/>
  </w:num>
  <w:num w:numId="8">
    <w:abstractNumId w:val="18"/>
  </w:num>
  <w:num w:numId="9">
    <w:abstractNumId w:val="7"/>
  </w:num>
  <w:num w:numId="10">
    <w:abstractNumId w:val="12"/>
  </w:num>
  <w:num w:numId="11">
    <w:abstractNumId w:val="1"/>
  </w:num>
  <w:num w:numId="12">
    <w:abstractNumId w:val="14"/>
  </w:num>
  <w:num w:numId="13">
    <w:abstractNumId w:val="8"/>
  </w:num>
  <w:num w:numId="14">
    <w:abstractNumId w:val="21"/>
  </w:num>
  <w:num w:numId="15">
    <w:abstractNumId w:val="13"/>
  </w:num>
  <w:num w:numId="16">
    <w:abstractNumId w:val="17"/>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rPr>
      </w:lvl>
    </w:lvlOverride>
    <w:lvlOverride w:ilvl="2">
      <w:lvl w:ilvl="2">
        <w:start w:val="1"/>
        <w:numFmt w:val="decimal"/>
        <w:suff w:val="space"/>
        <w:lvlText w:val="%1.%2.%3."/>
        <w:lvlJc w:val="left"/>
        <w:pPr>
          <w:ind w:left="432" w:hanging="432"/>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080" w:hanging="1080"/>
        </w:pPr>
        <w:rPr>
          <w:rFonts w:hint="default"/>
        </w:rPr>
      </w:lvl>
    </w:lvlOverride>
    <w:lvlOverride w:ilvl="8">
      <w:lvl w:ilvl="8">
        <w:start w:val="1"/>
        <w:numFmt w:val="decimal"/>
        <w:lvlText w:val="%1.%2.%3.%4.%5.%6.%7.%8.%9."/>
        <w:lvlJc w:val="left"/>
        <w:pPr>
          <w:ind w:left="1440" w:hanging="1440"/>
        </w:pPr>
        <w:rPr>
          <w:rFonts w:hint="default"/>
        </w:rPr>
      </w:lvl>
    </w:lvlOverride>
  </w:num>
  <w:num w:numId="17">
    <w:abstractNumId w:val="5"/>
  </w:num>
  <w:num w:numId="18">
    <w:abstractNumId w:val="3"/>
  </w:num>
  <w:num w:numId="19">
    <w:abstractNumId w:val="0"/>
  </w:num>
  <w:num w:numId="20">
    <w:abstractNumId w:val="9"/>
  </w:num>
  <w:num w:numId="21">
    <w:abstractNumId w:val="2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CF"/>
    <w:rsid w:val="000037B3"/>
    <w:rsid w:val="000037FB"/>
    <w:rsid w:val="00004153"/>
    <w:rsid w:val="00004F1D"/>
    <w:rsid w:val="00011B41"/>
    <w:rsid w:val="00013E15"/>
    <w:rsid w:val="00014257"/>
    <w:rsid w:val="0001513C"/>
    <w:rsid w:val="00016635"/>
    <w:rsid w:val="00021F64"/>
    <w:rsid w:val="000362EC"/>
    <w:rsid w:val="0004632B"/>
    <w:rsid w:val="00046F45"/>
    <w:rsid w:val="000507B1"/>
    <w:rsid w:val="00055498"/>
    <w:rsid w:val="000559FC"/>
    <w:rsid w:val="00056FAE"/>
    <w:rsid w:val="00057917"/>
    <w:rsid w:val="00057B15"/>
    <w:rsid w:val="00060A25"/>
    <w:rsid w:val="00062065"/>
    <w:rsid w:val="00064FB0"/>
    <w:rsid w:val="00065CEF"/>
    <w:rsid w:val="00065D06"/>
    <w:rsid w:val="00065F23"/>
    <w:rsid w:val="00066437"/>
    <w:rsid w:val="00073025"/>
    <w:rsid w:val="000738BF"/>
    <w:rsid w:val="000776B1"/>
    <w:rsid w:val="00081A7B"/>
    <w:rsid w:val="00087DF7"/>
    <w:rsid w:val="0009120C"/>
    <w:rsid w:val="0009144E"/>
    <w:rsid w:val="00091514"/>
    <w:rsid w:val="00091D73"/>
    <w:rsid w:val="000A3CE7"/>
    <w:rsid w:val="000A45C1"/>
    <w:rsid w:val="000A55A4"/>
    <w:rsid w:val="000A738C"/>
    <w:rsid w:val="000B0655"/>
    <w:rsid w:val="000B2480"/>
    <w:rsid w:val="000B689B"/>
    <w:rsid w:val="000C2B6C"/>
    <w:rsid w:val="000C3115"/>
    <w:rsid w:val="000C5544"/>
    <w:rsid w:val="000C5753"/>
    <w:rsid w:val="000C5883"/>
    <w:rsid w:val="000C6B2B"/>
    <w:rsid w:val="000D4EC3"/>
    <w:rsid w:val="000D7D46"/>
    <w:rsid w:val="000E2C8D"/>
    <w:rsid w:val="000E31E2"/>
    <w:rsid w:val="000E31E3"/>
    <w:rsid w:val="000E6AFF"/>
    <w:rsid w:val="000F3A31"/>
    <w:rsid w:val="000F54C9"/>
    <w:rsid w:val="000F60D1"/>
    <w:rsid w:val="00102726"/>
    <w:rsid w:val="001076F7"/>
    <w:rsid w:val="00113401"/>
    <w:rsid w:val="00114125"/>
    <w:rsid w:val="00114241"/>
    <w:rsid w:val="001149BF"/>
    <w:rsid w:val="00115922"/>
    <w:rsid w:val="00117D32"/>
    <w:rsid w:val="0012014B"/>
    <w:rsid w:val="00123AE3"/>
    <w:rsid w:val="00123DBE"/>
    <w:rsid w:val="00124CAB"/>
    <w:rsid w:val="00125064"/>
    <w:rsid w:val="00126ED5"/>
    <w:rsid w:val="001302A2"/>
    <w:rsid w:val="00135435"/>
    <w:rsid w:val="00143332"/>
    <w:rsid w:val="00143B22"/>
    <w:rsid w:val="00143C71"/>
    <w:rsid w:val="00144377"/>
    <w:rsid w:val="00147C8F"/>
    <w:rsid w:val="00151EBB"/>
    <w:rsid w:val="00153A15"/>
    <w:rsid w:val="001550A9"/>
    <w:rsid w:val="00156ED0"/>
    <w:rsid w:val="001578A5"/>
    <w:rsid w:val="001728D2"/>
    <w:rsid w:val="001771A8"/>
    <w:rsid w:val="00183C8B"/>
    <w:rsid w:val="00184290"/>
    <w:rsid w:val="001870E7"/>
    <w:rsid w:val="00190611"/>
    <w:rsid w:val="00190FD9"/>
    <w:rsid w:val="0019287B"/>
    <w:rsid w:val="001960B0"/>
    <w:rsid w:val="001A1F15"/>
    <w:rsid w:val="001A4B02"/>
    <w:rsid w:val="001B03C7"/>
    <w:rsid w:val="001B0A89"/>
    <w:rsid w:val="001B4028"/>
    <w:rsid w:val="001B4EAA"/>
    <w:rsid w:val="001B5AEA"/>
    <w:rsid w:val="001C088A"/>
    <w:rsid w:val="001C15E8"/>
    <w:rsid w:val="001C2D2C"/>
    <w:rsid w:val="001C33BD"/>
    <w:rsid w:val="001C4DB5"/>
    <w:rsid w:val="001C5FDA"/>
    <w:rsid w:val="001C7781"/>
    <w:rsid w:val="001C7F87"/>
    <w:rsid w:val="001D3A80"/>
    <w:rsid w:val="001E57EA"/>
    <w:rsid w:val="001F65A1"/>
    <w:rsid w:val="001F6FD7"/>
    <w:rsid w:val="002061DA"/>
    <w:rsid w:val="00211023"/>
    <w:rsid w:val="002158E2"/>
    <w:rsid w:val="0021709F"/>
    <w:rsid w:val="00220C08"/>
    <w:rsid w:val="002221EB"/>
    <w:rsid w:val="002257E1"/>
    <w:rsid w:val="0022606F"/>
    <w:rsid w:val="00230D45"/>
    <w:rsid w:val="0023690C"/>
    <w:rsid w:val="00241AA9"/>
    <w:rsid w:val="00247D99"/>
    <w:rsid w:val="0025087A"/>
    <w:rsid w:val="0025208B"/>
    <w:rsid w:val="00255703"/>
    <w:rsid w:val="002576CD"/>
    <w:rsid w:val="00262157"/>
    <w:rsid w:val="00263556"/>
    <w:rsid w:val="002641B3"/>
    <w:rsid w:val="00270F03"/>
    <w:rsid w:val="002730C5"/>
    <w:rsid w:val="00275154"/>
    <w:rsid w:val="00275C81"/>
    <w:rsid w:val="00277382"/>
    <w:rsid w:val="00291536"/>
    <w:rsid w:val="00292709"/>
    <w:rsid w:val="00293880"/>
    <w:rsid w:val="00294952"/>
    <w:rsid w:val="00297244"/>
    <w:rsid w:val="002A248F"/>
    <w:rsid w:val="002B1FB2"/>
    <w:rsid w:val="002B38BE"/>
    <w:rsid w:val="002C41AE"/>
    <w:rsid w:val="002C5F57"/>
    <w:rsid w:val="002C672C"/>
    <w:rsid w:val="002D1CF4"/>
    <w:rsid w:val="002E4DBA"/>
    <w:rsid w:val="002F6A93"/>
    <w:rsid w:val="00302124"/>
    <w:rsid w:val="00302A40"/>
    <w:rsid w:val="00307776"/>
    <w:rsid w:val="00307937"/>
    <w:rsid w:val="00311261"/>
    <w:rsid w:val="00311D24"/>
    <w:rsid w:val="00315078"/>
    <w:rsid w:val="00316929"/>
    <w:rsid w:val="00321442"/>
    <w:rsid w:val="0032254F"/>
    <w:rsid w:val="00326856"/>
    <w:rsid w:val="0032692B"/>
    <w:rsid w:val="0032714F"/>
    <w:rsid w:val="00327A9B"/>
    <w:rsid w:val="00331805"/>
    <w:rsid w:val="00342E5F"/>
    <w:rsid w:val="003443ED"/>
    <w:rsid w:val="00350856"/>
    <w:rsid w:val="00352BF9"/>
    <w:rsid w:val="00354CF1"/>
    <w:rsid w:val="00365E03"/>
    <w:rsid w:val="00366BD5"/>
    <w:rsid w:val="00367443"/>
    <w:rsid w:val="003767C9"/>
    <w:rsid w:val="00380DE3"/>
    <w:rsid w:val="0038143E"/>
    <w:rsid w:val="00382822"/>
    <w:rsid w:val="00382B33"/>
    <w:rsid w:val="003836E8"/>
    <w:rsid w:val="00387875"/>
    <w:rsid w:val="00390729"/>
    <w:rsid w:val="0039435C"/>
    <w:rsid w:val="00395221"/>
    <w:rsid w:val="003959BA"/>
    <w:rsid w:val="00396181"/>
    <w:rsid w:val="003A1936"/>
    <w:rsid w:val="003A3D8F"/>
    <w:rsid w:val="003A79AC"/>
    <w:rsid w:val="003B0FB6"/>
    <w:rsid w:val="003C08BF"/>
    <w:rsid w:val="003C364F"/>
    <w:rsid w:val="003C4020"/>
    <w:rsid w:val="003C5042"/>
    <w:rsid w:val="003D13A9"/>
    <w:rsid w:val="003D13DB"/>
    <w:rsid w:val="003E0E41"/>
    <w:rsid w:val="003E1594"/>
    <w:rsid w:val="003F2F7F"/>
    <w:rsid w:val="003F74BD"/>
    <w:rsid w:val="00402E74"/>
    <w:rsid w:val="00406AED"/>
    <w:rsid w:val="004071BE"/>
    <w:rsid w:val="00410A22"/>
    <w:rsid w:val="004162F9"/>
    <w:rsid w:val="00420AD0"/>
    <w:rsid w:val="00421B5C"/>
    <w:rsid w:val="0042246E"/>
    <w:rsid w:val="00422AB3"/>
    <w:rsid w:val="00426064"/>
    <w:rsid w:val="00427A43"/>
    <w:rsid w:val="0043110A"/>
    <w:rsid w:val="004317C3"/>
    <w:rsid w:val="00432920"/>
    <w:rsid w:val="00432FB6"/>
    <w:rsid w:val="004409FF"/>
    <w:rsid w:val="004426EC"/>
    <w:rsid w:val="00445586"/>
    <w:rsid w:val="00447025"/>
    <w:rsid w:val="00452C9E"/>
    <w:rsid w:val="00452D91"/>
    <w:rsid w:val="00453F80"/>
    <w:rsid w:val="0045691C"/>
    <w:rsid w:val="004655D1"/>
    <w:rsid w:val="00467758"/>
    <w:rsid w:val="00473AB2"/>
    <w:rsid w:val="0047455E"/>
    <w:rsid w:val="00477E93"/>
    <w:rsid w:val="00483A5A"/>
    <w:rsid w:val="00483C38"/>
    <w:rsid w:val="00490764"/>
    <w:rsid w:val="004A0709"/>
    <w:rsid w:val="004B528D"/>
    <w:rsid w:val="004B5FF0"/>
    <w:rsid w:val="004B6A4E"/>
    <w:rsid w:val="004C0A23"/>
    <w:rsid w:val="004C4A6C"/>
    <w:rsid w:val="004C6B1F"/>
    <w:rsid w:val="004D15DE"/>
    <w:rsid w:val="004D3DA2"/>
    <w:rsid w:val="004D4377"/>
    <w:rsid w:val="004D7E31"/>
    <w:rsid w:val="004E5BF1"/>
    <w:rsid w:val="004E63A0"/>
    <w:rsid w:val="004E72C6"/>
    <w:rsid w:val="004E7F68"/>
    <w:rsid w:val="004F0EB3"/>
    <w:rsid w:val="00500B12"/>
    <w:rsid w:val="00501DC5"/>
    <w:rsid w:val="00501E50"/>
    <w:rsid w:val="00504BF2"/>
    <w:rsid w:val="005112A5"/>
    <w:rsid w:val="00512F62"/>
    <w:rsid w:val="00517C8B"/>
    <w:rsid w:val="00522005"/>
    <w:rsid w:val="0052383B"/>
    <w:rsid w:val="00524925"/>
    <w:rsid w:val="00526C21"/>
    <w:rsid w:val="00527148"/>
    <w:rsid w:val="005307DE"/>
    <w:rsid w:val="0053195E"/>
    <w:rsid w:val="00532F1E"/>
    <w:rsid w:val="00534B99"/>
    <w:rsid w:val="00535988"/>
    <w:rsid w:val="00540771"/>
    <w:rsid w:val="00540F14"/>
    <w:rsid w:val="00541200"/>
    <w:rsid w:val="00542B66"/>
    <w:rsid w:val="00544F1E"/>
    <w:rsid w:val="005526D4"/>
    <w:rsid w:val="005535F2"/>
    <w:rsid w:val="005567B3"/>
    <w:rsid w:val="00562286"/>
    <w:rsid w:val="00564622"/>
    <w:rsid w:val="005653B9"/>
    <w:rsid w:val="00566D7B"/>
    <w:rsid w:val="00570412"/>
    <w:rsid w:val="0058009E"/>
    <w:rsid w:val="005811E8"/>
    <w:rsid w:val="005837CC"/>
    <w:rsid w:val="00586543"/>
    <w:rsid w:val="0058718A"/>
    <w:rsid w:val="005920FC"/>
    <w:rsid w:val="0059505F"/>
    <w:rsid w:val="00596245"/>
    <w:rsid w:val="005A27DB"/>
    <w:rsid w:val="005B0C0E"/>
    <w:rsid w:val="005B3B9E"/>
    <w:rsid w:val="005B3D01"/>
    <w:rsid w:val="005B5929"/>
    <w:rsid w:val="005C02D3"/>
    <w:rsid w:val="005C0448"/>
    <w:rsid w:val="005C1FBB"/>
    <w:rsid w:val="005C2DAC"/>
    <w:rsid w:val="005D1D26"/>
    <w:rsid w:val="005D2AE5"/>
    <w:rsid w:val="005D45AD"/>
    <w:rsid w:val="005D57D7"/>
    <w:rsid w:val="005E297B"/>
    <w:rsid w:val="005E76BF"/>
    <w:rsid w:val="005F4962"/>
    <w:rsid w:val="005F6A70"/>
    <w:rsid w:val="005F6D09"/>
    <w:rsid w:val="005F708A"/>
    <w:rsid w:val="0060233F"/>
    <w:rsid w:val="00606FDE"/>
    <w:rsid w:val="006150BC"/>
    <w:rsid w:val="00622229"/>
    <w:rsid w:val="00622CBC"/>
    <w:rsid w:val="00634AC2"/>
    <w:rsid w:val="00635431"/>
    <w:rsid w:val="00637C6A"/>
    <w:rsid w:val="0064014E"/>
    <w:rsid w:val="00642686"/>
    <w:rsid w:val="006479F0"/>
    <w:rsid w:val="00650CFD"/>
    <w:rsid w:val="00652ACE"/>
    <w:rsid w:val="00654443"/>
    <w:rsid w:val="00654A21"/>
    <w:rsid w:val="006558EA"/>
    <w:rsid w:val="00657906"/>
    <w:rsid w:val="0065792E"/>
    <w:rsid w:val="0066620D"/>
    <w:rsid w:val="0066757D"/>
    <w:rsid w:val="0067027B"/>
    <w:rsid w:val="00675A9E"/>
    <w:rsid w:val="0067793B"/>
    <w:rsid w:val="00677954"/>
    <w:rsid w:val="0068248A"/>
    <w:rsid w:val="00683B79"/>
    <w:rsid w:val="00684580"/>
    <w:rsid w:val="0069161E"/>
    <w:rsid w:val="0069335D"/>
    <w:rsid w:val="006A062A"/>
    <w:rsid w:val="006A559A"/>
    <w:rsid w:val="006A69A9"/>
    <w:rsid w:val="006B0061"/>
    <w:rsid w:val="006B0F4E"/>
    <w:rsid w:val="006B33C3"/>
    <w:rsid w:val="006B66F0"/>
    <w:rsid w:val="006B72FA"/>
    <w:rsid w:val="006B7853"/>
    <w:rsid w:val="006B7F16"/>
    <w:rsid w:val="006C1E70"/>
    <w:rsid w:val="006C3ACE"/>
    <w:rsid w:val="006C3AD2"/>
    <w:rsid w:val="006C4935"/>
    <w:rsid w:val="006C51C4"/>
    <w:rsid w:val="006D0303"/>
    <w:rsid w:val="006D1818"/>
    <w:rsid w:val="006D255D"/>
    <w:rsid w:val="006E2013"/>
    <w:rsid w:val="006E415F"/>
    <w:rsid w:val="006E79CE"/>
    <w:rsid w:val="006F11DA"/>
    <w:rsid w:val="006F3E7D"/>
    <w:rsid w:val="006F5DC3"/>
    <w:rsid w:val="00701334"/>
    <w:rsid w:val="00704984"/>
    <w:rsid w:val="0070584F"/>
    <w:rsid w:val="00706B7C"/>
    <w:rsid w:val="00707FBB"/>
    <w:rsid w:val="00710DC3"/>
    <w:rsid w:val="007122F2"/>
    <w:rsid w:val="00715C19"/>
    <w:rsid w:val="00715EE0"/>
    <w:rsid w:val="007161A1"/>
    <w:rsid w:val="0071652E"/>
    <w:rsid w:val="00717ED9"/>
    <w:rsid w:val="00724218"/>
    <w:rsid w:val="00730317"/>
    <w:rsid w:val="00735913"/>
    <w:rsid w:val="007379E2"/>
    <w:rsid w:val="00737CA8"/>
    <w:rsid w:val="00746C8F"/>
    <w:rsid w:val="00747682"/>
    <w:rsid w:val="007512C4"/>
    <w:rsid w:val="00753FDE"/>
    <w:rsid w:val="007661A6"/>
    <w:rsid w:val="00770DC2"/>
    <w:rsid w:val="007714A3"/>
    <w:rsid w:val="007718BC"/>
    <w:rsid w:val="00774E46"/>
    <w:rsid w:val="00784F0D"/>
    <w:rsid w:val="00786369"/>
    <w:rsid w:val="00790564"/>
    <w:rsid w:val="00790D2A"/>
    <w:rsid w:val="00791BAF"/>
    <w:rsid w:val="007959D0"/>
    <w:rsid w:val="00796E8E"/>
    <w:rsid w:val="00797A71"/>
    <w:rsid w:val="007A1895"/>
    <w:rsid w:val="007A720D"/>
    <w:rsid w:val="007B01E5"/>
    <w:rsid w:val="007B07B6"/>
    <w:rsid w:val="007B0CCE"/>
    <w:rsid w:val="007B0DCF"/>
    <w:rsid w:val="007B22EB"/>
    <w:rsid w:val="007B4EB1"/>
    <w:rsid w:val="007B6FA3"/>
    <w:rsid w:val="007C126E"/>
    <w:rsid w:val="007D71C6"/>
    <w:rsid w:val="007D7548"/>
    <w:rsid w:val="007E21A6"/>
    <w:rsid w:val="007E60D7"/>
    <w:rsid w:val="007F182D"/>
    <w:rsid w:val="007F44AA"/>
    <w:rsid w:val="007F57FD"/>
    <w:rsid w:val="007F65A1"/>
    <w:rsid w:val="0080462D"/>
    <w:rsid w:val="00805D8D"/>
    <w:rsid w:val="00805DEC"/>
    <w:rsid w:val="008066CA"/>
    <w:rsid w:val="008071F6"/>
    <w:rsid w:val="008117F0"/>
    <w:rsid w:val="0082326C"/>
    <w:rsid w:val="00826A97"/>
    <w:rsid w:val="00826BFF"/>
    <w:rsid w:val="008328A7"/>
    <w:rsid w:val="00834D89"/>
    <w:rsid w:val="00835505"/>
    <w:rsid w:val="00841C40"/>
    <w:rsid w:val="00845CF3"/>
    <w:rsid w:val="00847485"/>
    <w:rsid w:val="00851834"/>
    <w:rsid w:val="0086368B"/>
    <w:rsid w:val="00863B83"/>
    <w:rsid w:val="00867432"/>
    <w:rsid w:val="008748EC"/>
    <w:rsid w:val="00877FA4"/>
    <w:rsid w:val="00880E53"/>
    <w:rsid w:val="00894181"/>
    <w:rsid w:val="008958E4"/>
    <w:rsid w:val="008A38DA"/>
    <w:rsid w:val="008A4565"/>
    <w:rsid w:val="008B1C86"/>
    <w:rsid w:val="008B3147"/>
    <w:rsid w:val="008B44FE"/>
    <w:rsid w:val="008B567A"/>
    <w:rsid w:val="008B5ADC"/>
    <w:rsid w:val="008B6A23"/>
    <w:rsid w:val="008C0004"/>
    <w:rsid w:val="008C39F9"/>
    <w:rsid w:val="008C58F5"/>
    <w:rsid w:val="008C73B7"/>
    <w:rsid w:val="008D284B"/>
    <w:rsid w:val="008D357E"/>
    <w:rsid w:val="008D5679"/>
    <w:rsid w:val="008E4A2C"/>
    <w:rsid w:val="008E52CB"/>
    <w:rsid w:val="008E74F2"/>
    <w:rsid w:val="008F0958"/>
    <w:rsid w:val="008F0E0F"/>
    <w:rsid w:val="008F1813"/>
    <w:rsid w:val="008F3A6D"/>
    <w:rsid w:val="0090613F"/>
    <w:rsid w:val="00906C83"/>
    <w:rsid w:val="009078CC"/>
    <w:rsid w:val="00910500"/>
    <w:rsid w:val="00912A8F"/>
    <w:rsid w:val="00915D8F"/>
    <w:rsid w:val="0092028C"/>
    <w:rsid w:val="00920C45"/>
    <w:rsid w:val="00921AC6"/>
    <w:rsid w:val="00922A73"/>
    <w:rsid w:val="00923000"/>
    <w:rsid w:val="00923877"/>
    <w:rsid w:val="00925E42"/>
    <w:rsid w:val="00926B6C"/>
    <w:rsid w:val="00931C7C"/>
    <w:rsid w:val="00942611"/>
    <w:rsid w:val="0094301D"/>
    <w:rsid w:val="00945DE7"/>
    <w:rsid w:val="009516C0"/>
    <w:rsid w:val="00952C94"/>
    <w:rsid w:val="00953E96"/>
    <w:rsid w:val="00953EC3"/>
    <w:rsid w:val="00956ABC"/>
    <w:rsid w:val="009603E5"/>
    <w:rsid w:val="009749AD"/>
    <w:rsid w:val="0097501B"/>
    <w:rsid w:val="00976CA0"/>
    <w:rsid w:val="00981E6F"/>
    <w:rsid w:val="00987169"/>
    <w:rsid w:val="00990774"/>
    <w:rsid w:val="00993F69"/>
    <w:rsid w:val="009975D4"/>
    <w:rsid w:val="009A623D"/>
    <w:rsid w:val="009A7D7A"/>
    <w:rsid w:val="009B3D70"/>
    <w:rsid w:val="009B446E"/>
    <w:rsid w:val="009B7E87"/>
    <w:rsid w:val="009C083B"/>
    <w:rsid w:val="009C2517"/>
    <w:rsid w:val="009C7399"/>
    <w:rsid w:val="009D045F"/>
    <w:rsid w:val="009D3CD7"/>
    <w:rsid w:val="009E0E44"/>
    <w:rsid w:val="009E463C"/>
    <w:rsid w:val="009E7789"/>
    <w:rsid w:val="009F018A"/>
    <w:rsid w:val="009F52FA"/>
    <w:rsid w:val="00A01A3D"/>
    <w:rsid w:val="00A025C0"/>
    <w:rsid w:val="00A02E61"/>
    <w:rsid w:val="00A0466A"/>
    <w:rsid w:val="00A05250"/>
    <w:rsid w:val="00A05F22"/>
    <w:rsid w:val="00A07D53"/>
    <w:rsid w:val="00A11CA1"/>
    <w:rsid w:val="00A14DDA"/>
    <w:rsid w:val="00A2402E"/>
    <w:rsid w:val="00A33AEE"/>
    <w:rsid w:val="00A349CB"/>
    <w:rsid w:val="00A34E57"/>
    <w:rsid w:val="00A35D34"/>
    <w:rsid w:val="00A36E23"/>
    <w:rsid w:val="00A4073F"/>
    <w:rsid w:val="00A429F8"/>
    <w:rsid w:val="00A446D8"/>
    <w:rsid w:val="00A44A9E"/>
    <w:rsid w:val="00A45D85"/>
    <w:rsid w:val="00A508B2"/>
    <w:rsid w:val="00A53960"/>
    <w:rsid w:val="00A56722"/>
    <w:rsid w:val="00A61456"/>
    <w:rsid w:val="00A61EC2"/>
    <w:rsid w:val="00A62CBB"/>
    <w:rsid w:val="00A661E6"/>
    <w:rsid w:val="00A662F6"/>
    <w:rsid w:val="00A66444"/>
    <w:rsid w:val="00A6750A"/>
    <w:rsid w:val="00A72695"/>
    <w:rsid w:val="00A72965"/>
    <w:rsid w:val="00A80C2F"/>
    <w:rsid w:val="00A80D04"/>
    <w:rsid w:val="00A8216E"/>
    <w:rsid w:val="00A84226"/>
    <w:rsid w:val="00A928DC"/>
    <w:rsid w:val="00AA19D8"/>
    <w:rsid w:val="00AA1A57"/>
    <w:rsid w:val="00AA769F"/>
    <w:rsid w:val="00AA76B4"/>
    <w:rsid w:val="00AB3051"/>
    <w:rsid w:val="00AB440C"/>
    <w:rsid w:val="00AC1F4C"/>
    <w:rsid w:val="00AC7208"/>
    <w:rsid w:val="00AD1AC3"/>
    <w:rsid w:val="00AD3A75"/>
    <w:rsid w:val="00AE15CE"/>
    <w:rsid w:val="00AE6C42"/>
    <w:rsid w:val="00AE7520"/>
    <w:rsid w:val="00AE76B1"/>
    <w:rsid w:val="00AF2394"/>
    <w:rsid w:val="00AF2492"/>
    <w:rsid w:val="00AF4890"/>
    <w:rsid w:val="00B04276"/>
    <w:rsid w:val="00B0649B"/>
    <w:rsid w:val="00B162FC"/>
    <w:rsid w:val="00B16872"/>
    <w:rsid w:val="00B1798E"/>
    <w:rsid w:val="00B27814"/>
    <w:rsid w:val="00B30CFA"/>
    <w:rsid w:val="00B31973"/>
    <w:rsid w:val="00B32DB4"/>
    <w:rsid w:val="00B35685"/>
    <w:rsid w:val="00B44FE7"/>
    <w:rsid w:val="00B4693E"/>
    <w:rsid w:val="00B5000F"/>
    <w:rsid w:val="00B50985"/>
    <w:rsid w:val="00B54896"/>
    <w:rsid w:val="00B54CFB"/>
    <w:rsid w:val="00B5711D"/>
    <w:rsid w:val="00B635D7"/>
    <w:rsid w:val="00B8147B"/>
    <w:rsid w:val="00B81CC0"/>
    <w:rsid w:val="00B846E1"/>
    <w:rsid w:val="00B8522A"/>
    <w:rsid w:val="00B860B6"/>
    <w:rsid w:val="00B86E02"/>
    <w:rsid w:val="00B90AF0"/>
    <w:rsid w:val="00B913B0"/>
    <w:rsid w:val="00B932C4"/>
    <w:rsid w:val="00BA29EF"/>
    <w:rsid w:val="00BB07E3"/>
    <w:rsid w:val="00BB2452"/>
    <w:rsid w:val="00BB3D07"/>
    <w:rsid w:val="00BC15F7"/>
    <w:rsid w:val="00BD18C6"/>
    <w:rsid w:val="00BD204C"/>
    <w:rsid w:val="00BD7D42"/>
    <w:rsid w:val="00BE0E6B"/>
    <w:rsid w:val="00BE1623"/>
    <w:rsid w:val="00BE1D34"/>
    <w:rsid w:val="00BE31C9"/>
    <w:rsid w:val="00BE6F30"/>
    <w:rsid w:val="00BE7860"/>
    <w:rsid w:val="00BF3ED5"/>
    <w:rsid w:val="00BF4F15"/>
    <w:rsid w:val="00BF75AF"/>
    <w:rsid w:val="00C00559"/>
    <w:rsid w:val="00C01120"/>
    <w:rsid w:val="00C15750"/>
    <w:rsid w:val="00C1786F"/>
    <w:rsid w:val="00C31CB3"/>
    <w:rsid w:val="00C31CD8"/>
    <w:rsid w:val="00C33B31"/>
    <w:rsid w:val="00C345AE"/>
    <w:rsid w:val="00C34E25"/>
    <w:rsid w:val="00C3505F"/>
    <w:rsid w:val="00C43993"/>
    <w:rsid w:val="00C47844"/>
    <w:rsid w:val="00C47B3D"/>
    <w:rsid w:val="00C520BB"/>
    <w:rsid w:val="00C52381"/>
    <w:rsid w:val="00C557F0"/>
    <w:rsid w:val="00C570A8"/>
    <w:rsid w:val="00C57E03"/>
    <w:rsid w:val="00C621BC"/>
    <w:rsid w:val="00C634F3"/>
    <w:rsid w:val="00C66C2D"/>
    <w:rsid w:val="00C770C3"/>
    <w:rsid w:val="00C77D6A"/>
    <w:rsid w:val="00C814EE"/>
    <w:rsid w:val="00C81F9C"/>
    <w:rsid w:val="00C84773"/>
    <w:rsid w:val="00C90720"/>
    <w:rsid w:val="00C956F7"/>
    <w:rsid w:val="00C95922"/>
    <w:rsid w:val="00CA1540"/>
    <w:rsid w:val="00CA259C"/>
    <w:rsid w:val="00CA261F"/>
    <w:rsid w:val="00CA3568"/>
    <w:rsid w:val="00CA4EFB"/>
    <w:rsid w:val="00CB43F9"/>
    <w:rsid w:val="00CB6B56"/>
    <w:rsid w:val="00CC01AB"/>
    <w:rsid w:val="00CC0E3E"/>
    <w:rsid w:val="00CC376F"/>
    <w:rsid w:val="00CC7728"/>
    <w:rsid w:val="00CD236E"/>
    <w:rsid w:val="00CD5F9E"/>
    <w:rsid w:val="00CE3C50"/>
    <w:rsid w:val="00CE4F62"/>
    <w:rsid w:val="00CE5A85"/>
    <w:rsid w:val="00CE7050"/>
    <w:rsid w:val="00CE731E"/>
    <w:rsid w:val="00CF5CD2"/>
    <w:rsid w:val="00D030C0"/>
    <w:rsid w:val="00D06B68"/>
    <w:rsid w:val="00D07BDD"/>
    <w:rsid w:val="00D11333"/>
    <w:rsid w:val="00D12DCA"/>
    <w:rsid w:val="00D20058"/>
    <w:rsid w:val="00D20C86"/>
    <w:rsid w:val="00D25CD6"/>
    <w:rsid w:val="00D26D18"/>
    <w:rsid w:val="00D35A29"/>
    <w:rsid w:val="00D43092"/>
    <w:rsid w:val="00D44F1C"/>
    <w:rsid w:val="00D50875"/>
    <w:rsid w:val="00D530AF"/>
    <w:rsid w:val="00D559D0"/>
    <w:rsid w:val="00D63159"/>
    <w:rsid w:val="00D65828"/>
    <w:rsid w:val="00D73943"/>
    <w:rsid w:val="00D77010"/>
    <w:rsid w:val="00D80A49"/>
    <w:rsid w:val="00D80CF5"/>
    <w:rsid w:val="00D8543E"/>
    <w:rsid w:val="00D95AE2"/>
    <w:rsid w:val="00D97915"/>
    <w:rsid w:val="00D979A3"/>
    <w:rsid w:val="00DA1557"/>
    <w:rsid w:val="00DA1741"/>
    <w:rsid w:val="00DA34DE"/>
    <w:rsid w:val="00DA5702"/>
    <w:rsid w:val="00DB2600"/>
    <w:rsid w:val="00DB60D1"/>
    <w:rsid w:val="00DC0E7A"/>
    <w:rsid w:val="00DC1757"/>
    <w:rsid w:val="00DC2DD4"/>
    <w:rsid w:val="00DC39CC"/>
    <w:rsid w:val="00DC6D94"/>
    <w:rsid w:val="00DD5460"/>
    <w:rsid w:val="00DD633E"/>
    <w:rsid w:val="00DD795F"/>
    <w:rsid w:val="00DE1369"/>
    <w:rsid w:val="00DE1B56"/>
    <w:rsid w:val="00DE272A"/>
    <w:rsid w:val="00DE5CA9"/>
    <w:rsid w:val="00DE7CB3"/>
    <w:rsid w:val="00DF1993"/>
    <w:rsid w:val="00DF5221"/>
    <w:rsid w:val="00E043E3"/>
    <w:rsid w:val="00E061F4"/>
    <w:rsid w:val="00E10B9D"/>
    <w:rsid w:val="00E11221"/>
    <w:rsid w:val="00E12847"/>
    <w:rsid w:val="00E14238"/>
    <w:rsid w:val="00E14C3E"/>
    <w:rsid w:val="00E22574"/>
    <w:rsid w:val="00E22706"/>
    <w:rsid w:val="00E401C6"/>
    <w:rsid w:val="00E43A83"/>
    <w:rsid w:val="00E51385"/>
    <w:rsid w:val="00E55440"/>
    <w:rsid w:val="00E5645F"/>
    <w:rsid w:val="00E568C9"/>
    <w:rsid w:val="00E612C3"/>
    <w:rsid w:val="00E61B57"/>
    <w:rsid w:val="00E63225"/>
    <w:rsid w:val="00E636B6"/>
    <w:rsid w:val="00E67323"/>
    <w:rsid w:val="00E70606"/>
    <w:rsid w:val="00E7092B"/>
    <w:rsid w:val="00E73188"/>
    <w:rsid w:val="00E75864"/>
    <w:rsid w:val="00E75CD5"/>
    <w:rsid w:val="00E7776A"/>
    <w:rsid w:val="00E81F1A"/>
    <w:rsid w:val="00E822D6"/>
    <w:rsid w:val="00E82CE2"/>
    <w:rsid w:val="00E9442C"/>
    <w:rsid w:val="00E9797D"/>
    <w:rsid w:val="00EA6C67"/>
    <w:rsid w:val="00EB0399"/>
    <w:rsid w:val="00EB0D52"/>
    <w:rsid w:val="00EB25AB"/>
    <w:rsid w:val="00EB5EE9"/>
    <w:rsid w:val="00EB6DEF"/>
    <w:rsid w:val="00EC26D5"/>
    <w:rsid w:val="00EC7073"/>
    <w:rsid w:val="00ED197D"/>
    <w:rsid w:val="00ED2978"/>
    <w:rsid w:val="00ED2EC1"/>
    <w:rsid w:val="00ED48FA"/>
    <w:rsid w:val="00ED4FC1"/>
    <w:rsid w:val="00ED5426"/>
    <w:rsid w:val="00ED5714"/>
    <w:rsid w:val="00ED7611"/>
    <w:rsid w:val="00ED795B"/>
    <w:rsid w:val="00EE0599"/>
    <w:rsid w:val="00EE06B7"/>
    <w:rsid w:val="00EE0975"/>
    <w:rsid w:val="00EE4FC2"/>
    <w:rsid w:val="00EE7F8F"/>
    <w:rsid w:val="00EF5B84"/>
    <w:rsid w:val="00EF6075"/>
    <w:rsid w:val="00F05452"/>
    <w:rsid w:val="00F06CAA"/>
    <w:rsid w:val="00F236FD"/>
    <w:rsid w:val="00F33E6F"/>
    <w:rsid w:val="00F35483"/>
    <w:rsid w:val="00F35D2B"/>
    <w:rsid w:val="00F37081"/>
    <w:rsid w:val="00F40B79"/>
    <w:rsid w:val="00F439EA"/>
    <w:rsid w:val="00F4569F"/>
    <w:rsid w:val="00F51844"/>
    <w:rsid w:val="00F51D1E"/>
    <w:rsid w:val="00F5454D"/>
    <w:rsid w:val="00F54FF4"/>
    <w:rsid w:val="00F6253F"/>
    <w:rsid w:val="00F705ED"/>
    <w:rsid w:val="00F7078C"/>
    <w:rsid w:val="00F71EB4"/>
    <w:rsid w:val="00F814BB"/>
    <w:rsid w:val="00F860E3"/>
    <w:rsid w:val="00F94C1C"/>
    <w:rsid w:val="00F9574D"/>
    <w:rsid w:val="00FA2D23"/>
    <w:rsid w:val="00FA34AB"/>
    <w:rsid w:val="00FA3617"/>
    <w:rsid w:val="00FA3AF1"/>
    <w:rsid w:val="00FA4560"/>
    <w:rsid w:val="00FB397F"/>
    <w:rsid w:val="00FB6BAB"/>
    <w:rsid w:val="00FC6E77"/>
    <w:rsid w:val="00FD52D9"/>
    <w:rsid w:val="00FD569A"/>
    <w:rsid w:val="00FD6AED"/>
    <w:rsid w:val="00FE5DE8"/>
    <w:rsid w:val="00FE7BB6"/>
    <w:rsid w:val="00FF1854"/>
    <w:rsid w:val="00FF3815"/>
    <w:rsid w:val="00FF48C0"/>
    <w:rsid w:val="00FF4B57"/>
    <w:rsid w:val="00FF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8DCBD-EE7A-42B3-AAF7-C070DA46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DCF"/>
    <w:pPr>
      <w:spacing w:after="120"/>
    </w:pPr>
    <w:rPr>
      <w:rFonts w:ascii="Times New Roman" w:hAnsi="Times New Roman" w:cs="Arial"/>
      <w:sz w:val="24"/>
      <w:szCs w:val="22"/>
      <w:lang w:val="en-US" w:eastAsia="en-US"/>
    </w:rPr>
  </w:style>
  <w:style w:type="paragraph" w:styleId="Heading1">
    <w:name w:val="heading 1"/>
    <w:basedOn w:val="Normal"/>
    <w:next w:val="Normal"/>
    <w:link w:val="Heading1Char"/>
    <w:uiPriority w:val="9"/>
    <w:qFormat/>
    <w:rsid w:val="005526D4"/>
    <w:pPr>
      <w:keepNext/>
      <w:keepLines/>
      <w:spacing w:before="24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 Char Char,Footnote Text Char Char,Footnotes,Fußnotentextf,Geneva 9,Font: Geneva 9,Boston 10,f,Fußnotentextr,Footnote Text Blue,Fuﬂnotentextf,Podrozdział,Tekst przypisu,Footnote Text Char1,Fußnot,Fußnote,Podrozdzia"/>
    <w:basedOn w:val="Normal"/>
    <w:link w:val="FootnoteTextChar"/>
    <w:uiPriority w:val="99"/>
    <w:unhideWhenUsed/>
    <w:rsid w:val="00FA3AF1"/>
    <w:pPr>
      <w:spacing w:after="0"/>
    </w:pPr>
    <w:rPr>
      <w:sz w:val="20"/>
      <w:szCs w:val="20"/>
    </w:rPr>
  </w:style>
  <w:style w:type="character" w:customStyle="1" w:styleId="FootnoteTextChar">
    <w:name w:val="Footnote Text Char"/>
    <w:aliases w:val="Char Char,Footnote Text Char Char Char Char,Footnote Text Char Char Char1,Footnotes Char,Fußnotentextf Char,Geneva 9 Char,Font: Geneva 9 Char,Boston 10 Char,f Char,Fußnotentextr Char,Footnote Text Blue Char,Fuﬂnotentextf Char"/>
    <w:link w:val="FootnoteText"/>
    <w:uiPriority w:val="99"/>
    <w:rsid w:val="00FA3AF1"/>
    <w:rPr>
      <w:rFonts w:ascii="Times New Roman" w:eastAsia="Calibri" w:hAnsi="Times New Roman" w:cs="Arial"/>
      <w:sz w:val="20"/>
      <w:szCs w:val="20"/>
      <w:lang w:val="en-US"/>
    </w:rPr>
  </w:style>
  <w:style w:type="character" w:styleId="FootnoteReference">
    <w:name w:val="footnote reference"/>
    <w:aliases w:val="BVI fnr,16 Point,Superscript 6 Point,Footnote Reference Number,RSC_WP (footnote reference),ftref,Fußnotenzeichen_Raxen,Texto de nota al pie,Footnotes refss,Rimando nota a piè di pagina,Marque note bas de page,4_G,Footnote number"/>
    <w:link w:val="BVIfnrZchnCharZchnCharCharCharChar"/>
    <w:unhideWhenUsed/>
    <w:qFormat/>
    <w:rsid w:val="00FA3AF1"/>
    <w:rPr>
      <w:vertAlign w:val="superscript"/>
    </w:rPr>
  </w:style>
  <w:style w:type="paragraph" w:customStyle="1" w:styleId="doktorattekst">
    <w:name w:val="doktorat tekst"/>
    <w:basedOn w:val="Normal"/>
    <w:link w:val="doktorattekstChar"/>
    <w:autoRedefine/>
    <w:qFormat/>
    <w:rsid w:val="007F182D"/>
    <w:pPr>
      <w:spacing w:after="60" w:line="336" w:lineRule="auto"/>
      <w:jc w:val="both"/>
    </w:pPr>
    <w:rPr>
      <w:rFonts w:ascii="Garamond" w:eastAsia="Times New Roman" w:hAnsi="Garamond" w:cs="Times New Roman"/>
      <w:szCs w:val="24"/>
      <w:lang w:val="bs-Latn-BA"/>
    </w:rPr>
  </w:style>
  <w:style w:type="character" w:customStyle="1" w:styleId="doktorattekstChar">
    <w:name w:val="doktorat tekst Char"/>
    <w:link w:val="doktorattekst"/>
    <w:locked/>
    <w:rsid w:val="007F182D"/>
    <w:rPr>
      <w:rFonts w:ascii="Garamond" w:eastAsia="Times New Roman" w:hAnsi="Garamond" w:cs="Times New Roman"/>
      <w:sz w:val="24"/>
      <w:szCs w:val="24"/>
      <w:lang w:val="bs-Latn-BA"/>
    </w:rPr>
  </w:style>
  <w:style w:type="paragraph" w:styleId="ListParagraph">
    <w:name w:val="List Paragraph"/>
    <w:basedOn w:val="Normal"/>
    <w:link w:val="ListParagraphChar"/>
    <w:uiPriority w:val="34"/>
    <w:qFormat/>
    <w:rsid w:val="00473AB2"/>
    <w:pPr>
      <w:ind w:left="720"/>
      <w:contextualSpacing/>
    </w:pPr>
  </w:style>
  <w:style w:type="paragraph" w:customStyle="1" w:styleId="TekstStrategija">
    <w:name w:val="Tekst Strategija"/>
    <w:basedOn w:val="Normal"/>
    <w:link w:val="TekstStrategijaChar"/>
    <w:autoRedefine/>
    <w:qFormat/>
    <w:rsid w:val="00532F1E"/>
    <w:pPr>
      <w:spacing w:after="0" w:line="276" w:lineRule="auto"/>
      <w:jc w:val="both"/>
    </w:pPr>
    <w:rPr>
      <w:rFonts w:ascii="Arial" w:hAnsi="Arial"/>
      <w:szCs w:val="16"/>
      <w:lang w:val="bs-Latn-BA"/>
    </w:rPr>
  </w:style>
  <w:style w:type="paragraph" w:customStyle="1" w:styleId="1naslov">
    <w:name w:val="1 naslov"/>
    <w:basedOn w:val="Heading1"/>
    <w:link w:val="1naslovChar"/>
    <w:autoRedefine/>
    <w:qFormat/>
    <w:rsid w:val="00390729"/>
    <w:pPr>
      <w:numPr>
        <w:numId w:val="11"/>
      </w:numPr>
      <w:spacing w:before="600" w:after="240" w:line="276" w:lineRule="auto"/>
      <w:jc w:val="both"/>
    </w:pPr>
    <w:rPr>
      <w:rFonts w:ascii="Arial" w:hAnsi="Arial"/>
      <w:b/>
      <w:color w:val="FF0000"/>
      <w:sz w:val="44"/>
      <w:lang w:val="bs-Latn-BA"/>
    </w:rPr>
  </w:style>
  <w:style w:type="character" w:customStyle="1" w:styleId="TekstStrategijaChar">
    <w:name w:val="Tekst Strategija Char"/>
    <w:link w:val="TekstStrategija"/>
    <w:rsid w:val="00532F1E"/>
    <w:rPr>
      <w:rFonts w:ascii="Arial" w:eastAsia="Calibri" w:hAnsi="Arial" w:cs="Arial"/>
      <w:sz w:val="24"/>
      <w:szCs w:val="16"/>
      <w:lang w:val="bs-Latn-BA"/>
    </w:rPr>
  </w:style>
  <w:style w:type="paragraph" w:customStyle="1" w:styleId="2naslov">
    <w:name w:val="2 naslov"/>
    <w:basedOn w:val="Heading1"/>
    <w:link w:val="2naslovChar"/>
    <w:autoRedefine/>
    <w:qFormat/>
    <w:rsid w:val="006C3ACE"/>
    <w:pPr>
      <w:numPr>
        <w:ilvl w:val="1"/>
        <w:numId w:val="11"/>
      </w:numPr>
      <w:spacing w:before="600" w:after="120" w:line="276" w:lineRule="auto"/>
      <w:ind w:left="397" w:hanging="397"/>
      <w:jc w:val="both"/>
    </w:pPr>
    <w:rPr>
      <w:rFonts w:ascii="Arial" w:hAnsi="Arial"/>
      <w:b/>
      <w:color w:val="auto"/>
      <w:sz w:val="36"/>
      <w:szCs w:val="24"/>
      <w:lang w:val="bs-Latn-BA"/>
    </w:rPr>
  </w:style>
  <w:style w:type="character" w:customStyle="1" w:styleId="Heading1Char">
    <w:name w:val="Heading 1 Char"/>
    <w:link w:val="Heading1"/>
    <w:uiPriority w:val="9"/>
    <w:rsid w:val="005526D4"/>
    <w:rPr>
      <w:rFonts w:ascii="Calibri Light" w:eastAsia="Times New Roman" w:hAnsi="Calibri Light" w:cs="Times New Roman"/>
      <w:color w:val="2E74B5"/>
      <w:sz w:val="32"/>
      <w:szCs w:val="32"/>
      <w:lang w:val="en-US"/>
    </w:rPr>
  </w:style>
  <w:style w:type="character" w:customStyle="1" w:styleId="1naslovChar">
    <w:name w:val="1 naslov Char"/>
    <w:link w:val="1naslov"/>
    <w:rsid w:val="00390729"/>
    <w:rPr>
      <w:rFonts w:ascii="Arial" w:eastAsia="Times New Roman" w:hAnsi="Arial"/>
      <w:b/>
      <w:color w:val="FF0000"/>
      <w:sz w:val="44"/>
      <w:szCs w:val="32"/>
      <w:lang w:val="bs-Latn-BA" w:eastAsia="en-US"/>
    </w:rPr>
  </w:style>
  <w:style w:type="character" w:customStyle="1" w:styleId="2naslovChar">
    <w:name w:val="2 naslov Char"/>
    <w:link w:val="2naslov"/>
    <w:rsid w:val="006C3ACE"/>
    <w:rPr>
      <w:rFonts w:ascii="Arial" w:eastAsia="Times New Roman" w:hAnsi="Arial" w:cs="Times New Roman"/>
      <w:b/>
      <w:color w:val="2E74B5"/>
      <w:sz w:val="36"/>
      <w:szCs w:val="24"/>
      <w:lang w:val="bs-Latn-BA"/>
    </w:rPr>
  </w:style>
  <w:style w:type="table" w:styleId="TableGrid">
    <w:name w:val="Table Grid"/>
    <w:basedOn w:val="TableNormal"/>
    <w:uiPriority w:val="39"/>
    <w:rsid w:val="0058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86543"/>
    <w:pPr>
      <w:spacing w:after="200"/>
    </w:pPr>
    <w:rPr>
      <w:i/>
      <w:iCs/>
      <w:color w:val="44546A"/>
      <w:sz w:val="18"/>
      <w:szCs w:val="18"/>
    </w:rPr>
  </w:style>
  <w:style w:type="paragraph" w:customStyle="1" w:styleId="Tebeleigrafikoni">
    <w:name w:val="Tebele i grafikoni"/>
    <w:basedOn w:val="Caption"/>
    <w:link w:val="TebeleigrafikoniChar"/>
    <w:autoRedefine/>
    <w:qFormat/>
    <w:rsid w:val="00A14DDA"/>
    <w:pPr>
      <w:spacing w:before="240" w:after="0" w:line="276" w:lineRule="auto"/>
      <w:jc w:val="both"/>
    </w:pPr>
    <w:rPr>
      <w:rFonts w:ascii="Arial" w:hAnsi="Arial"/>
      <w:b/>
      <w:color w:val="auto"/>
      <w:sz w:val="20"/>
      <w:szCs w:val="20"/>
      <w:lang w:val="bs-Latn-BA"/>
    </w:rPr>
  </w:style>
  <w:style w:type="paragraph" w:customStyle="1" w:styleId="Napomena">
    <w:name w:val="Napomena"/>
    <w:basedOn w:val="TekstStrategija"/>
    <w:link w:val="NapomenaChar"/>
    <w:autoRedefine/>
    <w:qFormat/>
    <w:rsid w:val="004A0709"/>
    <w:pPr>
      <w:spacing w:line="240" w:lineRule="auto"/>
    </w:pPr>
    <w:rPr>
      <w:i/>
      <w:sz w:val="14"/>
    </w:rPr>
  </w:style>
  <w:style w:type="character" w:customStyle="1" w:styleId="CaptionChar">
    <w:name w:val="Caption Char"/>
    <w:link w:val="Caption"/>
    <w:uiPriority w:val="35"/>
    <w:rsid w:val="00A14DDA"/>
    <w:rPr>
      <w:rFonts w:ascii="Times New Roman" w:eastAsia="Calibri" w:hAnsi="Times New Roman" w:cs="Arial"/>
      <w:i/>
      <w:iCs/>
      <w:color w:val="44546A"/>
      <w:sz w:val="18"/>
      <w:szCs w:val="18"/>
      <w:lang w:val="en-US"/>
    </w:rPr>
  </w:style>
  <w:style w:type="character" w:customStyle="1" w:styleId="TebeleigrafikoniChar">
    <w:name w:val="Tebele i grafikoni Char"/>
    <w:link w:val="Tebeleigrafikoni"/>
    <w:rsid w:val="00A14DDA"/>
    <w:rPr>
      <w:rFonts w:ascii="Arial" w:eastAsia="Calibri" w:hAnsi="Arial" w:cs="Arial"/>
      <w:b/>
      <w:i/>
      <w:iCs/>
      <w:color w:val="44546A"/>
      <w:sz w:val="20"/>
      <w:szCs w:val="20"/>
      <w:lang w:val="bs-Latn-BA"/>
    </w:rPr>
  </w:style>
  <w:style w:type="character" w:customStyle="1" w:styleId="NapomenaChar">
    <w:name w:val="Napomena Char"/>
    <w:link w:val="Napomena"/>
    <w:rsid w:val="004A0709"/>
    <w:rPr>
      <w:rFonts w:ascii="Arial" w:eastAsia="Calibri" w:hAnsi="Arial" w:cs="Arial"/>
      <w:i/>
      <w:sz w:val="14"/>
      <w:szCs w:val="16"/>
      <w:lang w:val="bs-Latn-BA"/>
    </w:rPr>
  </w:style>
  <w:style w:type="paragraph" w:customStyle="1" w:styleId="3naslov">
    <w:name w:val="3 naslov"/>
    <w:basedOn w:val="Heading1"/>
    <w:link w:val="3naslovChar"/>
    <w:autoRedefine/>
    <w:qFormat/>
    <w:rsid w:val="006C3ACE"/>
    <w:pPr>
      <w:numPr>
        <w:ilvl w:val="2"/>
        <w:numId w:val="11"/>
      </w:numPr>
      <w:spacing w:before="600" w:after="120" w:line="276" w:lineRule="auto"/>
      <w:ind w:left="0" w:firstLine="0"/>
      <w:jc w:val="both"/>
    </w:pPr>
    <w:rPr>
      <w:rFonts w:ascii="Arial" w:hAnsi="Arial"/>
      <w:b/>
      <w:color w:val="auto"/>
    </w:rPr>
  </w:style>
  <w:style w:type="character" w:customStyle="1" w:styleId="3naslovChar">
    <w:name w:val="3 naslov Char"/>
    <w:link w:val="3naslov"/>
    <w:rsid w:val="006C3ACE"/>
    <w:rPr>
      <w:rFonts w:ascii="Arial" w:eastAsia="Times New Roman" w:hAnsi="Arial" w:cs="Times New Roman"/>
      <w:b/>
      <w:color w:val="2E74B5"/>
      <w:sz w:val="32"/>
      <w:szCs w:val="32"/>
      <w:lang w:val="en-US"/>
    </w:rPr>
  </w:style>
  <w:style w:type="paragraph" w:styleId="NormalWeb">
    <w:name w:val="Normal (Web)"/>
    <w:basedOn w:val="Normal"/>
    <w:link w:val="NormalWebChar"/>
    <w:uiPriority w:val="99"/>
    <w:rsid w:val="00AE76B1"/>
    <w:pPr>
      <w:spacing w:before="100" w:beforeAutospacing="1" w:after="100" w:afterAutospacing="1"/>
    </w:pPr>
    <w:rPr>
      <w:rFonts w:eastAsia="Times New Roman" w:cs="Times New Roman"/>
      <w:szCs w:val="24"/>
      <w:lang w:val="en-GB" w:eastAsia="en-GB"/>
    </w:rPr>
  </w:style>
  <w:style w:type="character" w:customStyle="1" w:styleId="apple-style-span">
    <w:name w:val="apple-style-span"/>
    <w:rsid w:val="00AE76B1"/>
  </w:style>
  <w:style w:type="character" w:customStyle="1" w:styleId="apple-converted-space">
    <w:name w:val="apple-converted-space"/>
    <w:rsid w:val="00AE76B1"/>
  </w:style>
  <w:style w:type="paragraph" w:customStyle="1" w:styleId="Default">
    <w:name w:val="Default"/>
    <w:rsid w:val="00AE76B1"/>
    <w:pPr>
      <w:autoSpaceDE w:val="0"/>
      <w:autoSpaceDN w:val="0"/>
      <w:adjustRightInd w:val="0"/>
    </w:pPr>
    <w:rPr>
      <w:rFonts w:ascii="Times New Roman" w:eastAsia="Times New Roman" w:hAnsi="Times New Roman"/>
      <w:color w:val="000000"/>
      <w:sz w:val="24"/>
      <w:szCs w:val="24"/>
      <w:lang w:val="sr-Latn-BA" w:eastAsia="sr-Latn-BA"/>
    </w:rPr>
  </w:style>
  <w:style w:type="character" w:customStyle="1" w:styleId="ListParagraphChar">
    <w:name w:val="List Paragraph Char"/>
    <w:link w:val="ListParagraph"/>
    <w:uiPriority w:val="34"/>
    <w:locked/>
    <w:rsid w:val="00AE76B1"/>
    <w:rPr>
      <w:rFonts w:ascii="Times New Roman" w:eastAsia="Calibri" w:hAnsi="Times New Roman" w:cs="Arial"/>
      <w:sz w:val="24"/>
      <w:lang w:val="en-US"/>
    </w:rPr>
  </w:style>
  <w:style w:type="paragraph" w:customStyle="1" w:styleId="BVIfnrZchnCharZchnCharCharCharChar">
    <w:name w:val="BVI fnr Zchn Char Zchn Char Char Char Char"/>
    <w:aliases w:val="BVI fnr Car Car Zchn Char Zchn Char Char Char Char,BVI fnr Car Zchn Char Zchn Char Char Char Char"/>
    <w:basedOn w:val="Normal"/>
    <w:link w:val="FootnoteReference"/>
    <w:rsid w:val="00AE76B1"/>
    <w:pPr>
      <w:spacing w:after="160" w:line="240" w:lineRule="exact"/>
    </w:pPr>
    <w:rPr>
      <w:rFonts w:ascii="Calibri" w:hAnsi="Calibri" w:cs="Times New Roman"/>
      <w:sz w:val="22"/>
      <w:vertAlign w:val="superscript"/>
      <w:lang w:val="en-GB"/>
    </w:rPr>
  </w:style>
  <w:style w:type="paragraph" w:customStyle="1" w:styleId="1tekst">
    <w:name w:val="1tekst"/>
    <w:basedOn w:val="Normal"/>
    <w:rsid w:val="00AE76B1"/>
    <w:pPr>
      <w:spacing w:before="100" w:beforeAutospacing="1" w:after="100" w:afterAutospacing="1"/>
      <w:ind w:firstLine="240"/>
      <w:jc w:val="both"/>
    </w:pPr>
    <w:rPr>
      <w:rFonts w:ascii="Arial" w:eastAsia="Times New Roman" w:hAnsi="Arial"/>
      <w:sz w:val="20"/>
      <w:szCs w:val="20"/>
      <w:lang w:val="sr-Latn-CS"/>
    </w:rPr>
  </w:style>
  <w:style w:type="character" w:customStyle="1" w:styleId="NormalWebChar">
    <w:name w:val="Normal (Web) Char"/>
    <w:link w:val="NormalWeb"/>
    <w:uiPriority w:val="99"/>
    <w:locked/>
    <w:rsid w:val="00AE76B1"/>
    <w:rPr>
      <w:rFonts w:ascii="Times New Roman" w:eastAsia="Times New Roman" w:hAnsi="Times New Roman" w:cs="Times New Roman"/>
      <w:sz w:val="24"/>
      <w:szCs w:val="24"/>
      <w:lang w:eastAsia="en-GB"/>
    </w:rPr>
  </w:style>
  <w:style w:type="paragraph" w:customStyle="1" w:styleId="Clan">
    <w:name w:val="Clan"/>
    <w:basedOn w:val="Normal"/>
    <w:rsid w:val="00AE76B1"/>
    <w:pPr>
      <w:keepNext/>
      <w:tabs>
        <w:tab w:val="left" w:pos="1800"/>
      </w:tabs>
      <w:spacing w:before="120" w:after="240"/>
      <w:ind w:left="720" w:right="720"/>
      <w:jc w:val="center"/>
    </w:pPr>
    <w:rPr>
      <w:rFonts w:ascii="Helv Ciril" w:eastAsia="Times New Roman" w:hAnsi="Helv Ciril" w:cs="Times New Roman"/>
      <w:b/>
      <w:szCs w:val="20"/>
    </w:rPr>
  </w:style>
  <w:style w:type="paragraph" w:customStyle="1" w:styleId="TEKST">
    <w:name w:val="TEKST"/>
    <w:basedOn w:val="Normal"/>
    <w:qFormat/>
    <w:rsid w:val="00AE76B1"/>
    <w:pPr>
      <w:spacing w:after="160" w:line="259" w:lineRule="auto"/>
      <w:jc w:val="both"/>
    </w:pPr>
    <w:rPr>
      <w:rFonts w:ascii="Calibri" w:eastAsia="Times New Roman" w:hAnsi="Calibri" w:cs="Calibri"/>
      <w:sz w:val="22"/>
      <w:szCs w:val="24"/>
      <w:lang w:val="bs-Latn-BA"/>
    </w:rPr>
  </w:style>
  <w:style w:type="character" w:styleId="Hyperlink">
    <w:name w:val="Hyperlink"/>
    <w:uiPriority w:val="99"/>
    <w:unhideWhenUsed/>
    <w:rsid w:val="00AE76B1"/>
    <w:rPr>
      <w:rFonts w:cs="Times New Roman"/>
      <w:color w:val="0000FF"/>
      <w:u w:val="single"/>
    </w:rPr>
  </w:style>
  <w:style w:type="paragraph" w:customStyle="1" w:styleId="m2041657108486350546gmail-msonormal">
    <w:name w:val="m_2041657108486350546gmail-msonormal"/>
    <w:basedOn w:val="Normal"/>
    <w:uiPriority w:val="99"/>
    <w:rsid w:val="00AE76B1"/>
    <w:pPr>
      <w:spacing w:before="100" w:beforeAutospacing="1" w:after="100" w:afterAutospacing="1"/>
    </w:pPr>
    <w:rPr>
      <w:rFonts w:eastAsia="Times New Roman" w:cs="Times New Roman"/>
      <w:szCs w:val="24"/>
      <w:lang w:val="bs-Latn-BA" w:eastAsia="bs-Latn-BA"/>
    </w:rPr>
  </w:style>
  <w:style w:type="character" w:styleId="Emphasis">
    <w:name w:val="Emphasis"/>
    <w:uiPriority w:val="20"/>
    <w:qFormat/>
    <w:rsid w:val="00AE76B1"/>
    <w:rPr>
      <w:rFonts w:cs="Times New Roman"/>
      <w:i/>
      <w:iCs/>
    </w:rPr>
  </w:style>
  <w:style w:type="paragraph" w:customStyle="1" w:styleId="4naslov">
    <w:name w:val="4 naslov"/>
    <w:basedOn w:val="3naslov"/>
    <w:link w:val="4naslovChar"/>
    <w:autoRedefine/>
    <w:qFormat/>
    <w:rsid w:val="006C3ACE"/>
    <w:pPr>
      <w:numPr>
        <w:ilvl w:val="3"/>
      </w:numPr>
      <w:ind w:left="851" w:hanging="851"/>
    </w:pPr>
    <w:rPr>
      <w:sz w:val="28"/>
    </w:rPr>
  </w:style>
  <w:style w:type="character" w:customStyle="1" w:styleId="4naslovChar">
    <w:name w:val="4 naslov Char"/>
    <w:link w:val="4naslov"/>
    <w:rsid w:val="006C3ACE"/>
    <w:rPr>
      <w:rFonts w:ascii="Arial" w:eastAsia="Times New Roman" w:hAnsi="Arial" w:cs="Times New Roman"/>
      <w:b/>
      <w:color w:val="2E74B5"/>
      <w:sz w:val="28"/>
      <w:szCs w:val="32"/>
      <w:lang w:val="en-US"/>
    </w:rPr>
  </w:style>
  <w:style w:type="paragraph" w:styleId="TOCHeading">
    <w:name w:val="TOC Heading"/>
    <w:basedOn w:val="Heading1"/>
    <w:next w:val="Normal"/>
    <w:uiPriority w:val="39"/>
    <w:unhideWhenUsed/>
    <w:qFormat/>
    <w:rsid w:val="00AD3A75"/>
    <w:pPr>
      <w:spacing w:line="259" w:lineRule="auto"/>
      <w:outlineLvl w:val="9"/>
    </w:pPr>
  </w:style>
  <w:style w:type="paragraph" w:styleId="TOC1">
    <w:name w:val="toc 1"/>
    <w:basedOn w:val="Normal"/>
    <w:next w:val="Normal"/>
    <w:autoRedefine/>
    <w:uiPriority w:val="39"/>
    <w:unhideWhenUsed/>
    <w:rsid w:val="00AD3A75"/>
    <w:pPr>
      <w:spacing w:after="100"/>
    </w:pPr>
  </w:style>
  <w:style w:type="table" w:styleId="TableGridLight">
    <w:name w:val="Grid Table Light"/>
    <w:basedOn w:val="TableNormal"/>
    <w:uiPriority w:val="40"/>
    <w:rsid w:val="001578A5"/>
    <w:rPr>
      <w:lang w:val="bs-Latn-BA" w:eastAsia="bs-Latn-B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241AA9"/>
    <w:rPr>
      <w:sz w:val="16"/>
      <w:szCs w:val="16"/>
    </w:rPr>
  </w:style>
  <w:style w:type="paragraph" w:styleId="CommentText">
    <w:name w:val="annotation text"/>
    <w:basedOn w:val="Normal"/>
    <w:link w:val="CommentTextChar"/>
    <w:uiPriority w:val="99"/>
    <w:semiHidden/>
    <w:unhideWhenUsed/>
    <w:rsid w:val="00241AA9"/>
    <w:rPr>
      <w:sz w:val="20"/>
      <w:szCs w:val="20"/>
    </w:rPr>
  </w:style>
  <w:style w:type="character" w:customStyle="1" w:styleId="CommentTextChar">
    <w:name w:val="Comment Text Char"/>
    <w:link w:val="CommentText"/>
    <w:uiPriority w:val="99"/>
    <w:semiHidden/>
    <w:rsid w:val="00241AA9"/>
    <w:rPr>
      <w:rFonts w:ascii="Times New Roman" w:eastAsia="Calibri" w:hAnsi="Times New Roman" w:cs="Arial"/>
      <w:sz w:val="20"/>
      <w:szCs w:val="20"/>
      <w:lang w:val="en-US"/>
    </w:rPr>
  </w:style>
  <w:style w:type="paragraph" w:styleId="CommentSubject">
    <w:name w:val="annotation subject"/>
    <w:basedOn w:val="CommentText"/>
    <w:next w:val="CommentText"/>
    <w:link w:val="CommentSubjectChar"/>
    <w:uiPriority w:val="99"/>
    <w:semiHidden/>
    <w:unhideWhenUsed/>
    <w:rsid w:val="00241AA9"/>
    <w:rPr>
      <w:b/>
      <w:bCs/>
    </w:rPr>
  </w:style>
  <w:style w:type="character" w:customStyle="1" w:styleId="CommentSubjectChar">
    <w:name w:val="Comment Subject Char"/>
    <w:link w:val="CommentSubject"/>
    <w:uiPriority w:val="99"/>
    <w:semiHidden/>
    <w:rsid w:val="00241AA9"/>
    <w:rPr>
      <w:rFonts w:ascii="Times New Roman" w:eastAsia="Calibri" w:hAnsi="Times New Roman" w:cs="Arial"/>
      <w:b/>
      <w:bCs/>
      <w:sz w:val="20"/>
      <w:szCs w:val="20"/>
      <w:lang w:val="en-US"/>
    </w:rPr>
  </w:style>
  <w:style w:type="paragraph" w:styleId="BalloonText">
    <w:name w:val="Balloon Text"/>
    <w:basedOn w:val="Normal"/>
    <w:link w:val="BalloonTextChar"/>
    <w:uiPriority w:val="99"/>
    <w:semiHidden/>
    <w:unhideWhenUsed/>
    <w:rsid w:val="001C7F87"/>
    <w:pPr>
      <w:spacing w:after="0"/>
    </w:pPr>
    <w:rPr>
      <w:rFonts w:ascii="Segoe UI" w:hAnsi="Segoe UI" w:cs="Segoe UI"/>
      <w:sz w:val="18"/>
      <w:szCs w:val="18"/>
    </w:rPr>
  </w:style>
  <w:style w:type="character" w:customStyle="1" w:styleId="BalloonTextChar">
    <w:name w:val="Balloon Text Char"/>
    <w:link w:val="BalloonText"/>
    <w:uiPriority w:val="99"/>
    <w:semiHidden/>
    <w:rsid w:val="001C7F87"/>
    <w:rPr>
      <w:rFonts w:ascii="Segoe UI" w:eastAsia="Calibri" w:hAnsi="Segoe UI" w:cs="Segoe UI"/>
      <w:sz w:val="18"/>
      <w:szCs w:val="18"/>
      <w:lang w:val="en-US"/>
    </w:rPr>
  </w:style>
  <w:style w:type="paragraph" w:customStyle="1" w:styleId="Tekstanalize">
    <w:name w:val="Tekst analize"/>
    <w:basedOn w:val="Normal"/>
    <w:link w:val="TekstanalizeChar"/>
    <w:autoRedefine/>
    <w:qFormat/>
    <w:rsid w:val="00847485"/>
    <w:pPr>
      <w:spacing w:after="160" w:line="259" w:lineRule="auto"/>
      <w:jc w:val="both"/>
    </w:pPr>
    <w:rPr>
      <w:rFonts w:ascii="Cambria" w:hAnsi="Cambria" w:cs="Times New Roman"/>
      <w:szCs w:val="24"/>
      <w:lang w:val="bs-Latn-BA"/>
    </w:rPr>
  </w:style>
  <w:style w:type="character" w:customStyle="1" w:styleId="TekstanalizeChar">
    <w:name w:val="Tekst analize Char"/>
    <w:link w:val="Tekstanalize"/>
    <w:rsid w:val="00847485"/>
    <w:rPr>
      <w:rFonts w:ascii="Cambria" w:hAnsi="Cambria"/>
      <w:sz w:val="24"/>
      <w:szCs w:val="24"/>
      <w:lang w:val="bs-Latn-BA"/>
    </w:rPr>
  </w:style>
  <w:style w:type="paragraph" w:styleId="Header">
    <w:name w:val="header"/>
    <w:basedOn w:val="Normal"/>
    <w:link w:val="HeaderChar"/>
    <w:uiPriority w:val="99"/>
    <w:unhideWhenUsed/>
    <w:rsid w:val="00706B7C"/>
    <w:pPr>
      <w:tabs>
        <w:tab w:val="center" w:pos="4680"/>
        <w:tab w:val="right" w:pos="9360"/>
      </w:tabs>
      <w:spacing w:after="0"/>
    </w:pPr>
  </w:style>
  <w:style w:type="character" w:customStyle="1" w:styleId="HeaderChar">
    <w:name w:val="Header Char"/>
    <w:link w:val="Header"/>
    <w:uiPriority w:val="99"/>
    <w:rsid w:val="00706B7C"/>
    <w:rPr>
      <w:rFonts w:ascii="Times New Roman" w:eastAsia="Calibri" w:hAnsi="Times New Roman" w:cs="Arial"/>
      <w:sz w:val="24"/>
      <w:lang w:val="en-US"/>
    </w:rPr>
  </w:style>
  <w:style w:type="paragraph" w:styleId="Footer">
    <w:name w:val="footer"/>
    <w:basedOn w:val="Normal"/>
    <w:link w:val="FooterChar"/>
    <w:uiPriority w:val="99"/>
    <w:unhideWhenUsed/>
    <w:rsid w:val="00706B7C"/>
    <w:pPr>
      <w:tabs>
        <w:tab w:val="center" w:pos="4680"/>
        <w:tab w:val="right" w:pos="9360"/>
      </w:tabs>
      <w:spacing w:after="0"/>
    </w:pPr>
  </w:style>
  <w:style w:type="character" w:customStyle="1" w:styleId="FooterChar">
    <w:name w:val="Footer Char"/>
    <w:link w:val="Footer"/>
    <w:uiPriority w:val="99"/>
    <w:rsid w:val="00706B7C"/>
    <w:rPr>
      <w:rFonts w:ascii="Times New Roman" w:eastAsia="Calibri" w:hAnsi="Times New Roman" w:cs="Arial"/>
      <w:sz w:val="24"/>
      <w:lang w:val="en-US"/>
    </w:rPr>
  </w:style>
  <w:style w:type="paragraph" w:customStyle="1" w:styleId="BoldTekststrategije">
    <w:name w:val="Bold Tekst strategije"/>
    <w:basedOn w:val="Normal"/>
    <w:link w:val="BoldTekststrategijeChar"/>
    <w:autoRedefine/>
    <w:qFormat/>
    <w:rsid w:val="008B567A"/>
    <w:pPr>
      <w:spacing w:before="240" w:after="0" w:line="276" w:lineRule="auto"/>
      <w:jc w:val="both"/>
    </w:pPr>
    <w:rPr>
      <w:rFonts w:ascii="Arial" w:hAnsi="Arial"/>
      <w:b/>
      <w:sz w:val="20"/>
      <w:szCs w:val="20"/>
      <w:lang w:val="bs-Latn-BA"/>
    </w:rPr>
  </w:style>
  <w:style w:type="character" w:customStyle="1" w:styleId="BoldTekststrategijeChar">
    <w:name w:val="Bold Tekst strategije Char"/>
    <w:link w:val="BoldTekststrategije"/>
    <w:rsid w:val="008B567A"/>
    <w:rPr>
      <w:rFonts w:ascii="Arial" w:eastAsia="Calibri" w:hAnsi="Arial" w:cs="Arial"/>
      <w:b/>
      <w:sz w:val="20"/>
      <w:szCs w:val="20"/>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57591">
      <w:bodyDiv w:val="1"/>
      <w:marLeft w:val="0"/>
      <w:marRight w:val="0"/>
      <w:marTop w:val="0"/>
      <w:marBottom w:val="0"/>
      <w:divBdr>
        <w:top w:val="none" w:sz="0" w:space="0" w:color="auto"/>
        <w:left w:val="none" w:sz="0" w:space="0" w:color="auto"/>
        <w:bottom w:val="none" w:sz="0" w:space="0" w:color="auto"/>
        <w:right w:val="none" w:sz="0" w:space="0" w:color="auto"/>
      </w:divBdr>
    </w:div>
    <w:div w:id="21396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Faktori rizika za nasilje u porodici</c:v>
                </c:pt>
              </c:strCache>
            </c:strRef>
          </c:tx>
          <c:spPr>
            <a:solidFill>
              <a:schemeClr val="accent1"/>
            </a:solidFill>
            <a:ln>
              <a:noFill/>
            </a:ln>
            <a:effectLst/>
          </c:spPr>
          <c:invertIfNegative val="0"/>
          <c:dLbls>
            <c:dLbl>
              <c:idx val="0"/>
              <c:layout>
                <c:manualLayout>
                  <c:x val="0.11839606835697532"/>
                  <c:y val="0"/>
                </c:manualLayout>
              </c:layout>
              <c:spPr>
                <a:noFill/>
                <a:ln>
                  <a:noFill/>
                </a:ln>
                <a:effectLst/>
              </c:spPr>
              <c:txPr>
                <a:bodyPr/>
                <a:lstStyle/>
                <a:p>
                  <a:pPr>
                    <a:defRPr sz="902"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AC-42E4-85A3-573726975023}"/>
                </c:ext>
              </c:extLst>
            </c:dLbl>
            <c:dLbl>
              <c:idx val="1"/>
              <c:layout>
                <c:manualLayout>
                  <c:x val="0.15860605383670287"/>
                  <c:y val="-1.4550096466308564E-16"/>
                </c:manualLayout>
              </c:layout>
              <c:spPr>
                <a:noFill/>
                <a:ln>
                  <a:noFill/>
                </a:ln>
                <a:effectLst/>
              </c:spPr>
              <c:txPr>
                <a:bodyPr/>
                <a:lstStyle/>
                <a:p>
                  <a:pPr>
                    <a:defRPr sz="902"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AC-42E4-85A3-573726975023}"/>
                </c:ext>
              </c:extLst>
            </c:dLbl>
            <c:dLbl>
              <c:idx val="2"/>
              <c:layout>
                <c:manualLayout>
                  <c:x val="5.5847202055177035E-2"/>
                  <c:y val="-7.275048233154282E-17"/>
                </c:manualLayout>
              </c:layout>
              <c:spPr>
                <a:noFill/>
                <a:ln>
                  <a:noFill/>
                </a:ln>
                <a:effectLst/>
              </c:spPr>
              <c:txPr>
                <a:bodyPr/>
                <a:lstStyle/>
                <a:p>
                  <a:pPr>
                    <a:defRPr sz="902"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AC-42E4-85A3-573726975023}"/>
                </c:ext>
              </c:extLst>
            </c:dLbl>
            <c:dLbl>
              <c:idx val="3"/>
              <c:layout>
                <c:manualLayout>
                  <c:x val="6.2548866301798275E-2"/>
                  <c:y val="0"/>
                </c:manualLayout>
              </c:layout>
              <c:spPr>
                <a:noFill/>
                <a:ln>
                  <a:noFill/>
                </a:ln>
                <a:effectLst/>
              </c:spPr>
              <c:txPr>
                <a:bodyPr/>
                <a:lstStyle/>
                <a:p>
                  <a:pPr>
                    <a:defRPr sz="902"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AC-42E4-85A3-573726975023}"/>
                </c:ext>
              </c:extLst>
            </c:dLbl>
            <c:dLbl>
              <c:idx val="4"/>
              <c:layout>
                <c:manualLayout>
                  <c:x val="0.11839606835697532"/>
                  <c:y val="0"/>
                </c:manualLayout>
              </c:layout>
              <c:spPr>
                <a:noFill/>
                <a:ln>
                  <a:noFill/>
                </a:ln>
                <a:effectLst/>
              </c:spPr>
              <c:txPr>
                <a:bodyPr/>
                <a:lstStyle/>
                <a:p>
                  <a:pPr>
                    <a:defRPr sz="902"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AC-42E4-85A3-573726975023}"/>
                </c:ext>
              </c:extLst>
            </c:dLbl>
            <c:dLbl>
              <c:idx val="5"/>
              <c:layout>
                <c:manualLayout>
                  <c:x val="0.29040545068692042"/>
                  <c:y val="3.9682539682539316E-3"/>
                </c:manualLayout>
              </c:layout>
              <c:spPr>
                <a:noFill/>
                <a:ln>
                  <a:noFill/>
                </a:ln>
                <a:effectLst/>
              </c:spPr>
              <c:txPr>
                <a:bodyPr/>
                <a:lstStyle/>
                <a:p>
                  <a:pPr>
                    <a:defRPr sz="902"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AC-42E4-85A3-573726975023}"/>
                </c:ext>
              </c:extLst>
            </c:dLbl>
            <c:dLbl>
              <c:idx val="6"/>
              <c:layout>
                <c:manualLayout>
                  <c:x val="0.15637216575449561"/>
                  <c:y val="-9.0938102914428524E-18"/>
                </c:manualLayout>
              </c:layout>
              <c:spPr>
                <a:noFill/>
                <a:ln>
                  <a:noFill/>
                </a:ln>
                <a:effectLst/>
              </c:spPr>
              <c:txPr>
                <a:bodyPr/>
                <a:lstStyle/>
                <a:p>
                  <a:pPr>
                    <a:defRPr sz="902"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AC-42E4-85A3-573726975023}"/>
                </c:ext>
              </c:extLst>
            </c:dLbl>
            <c:spPr>
              <a:noFill/>
              <a:ln>
                <a:noFill/>
              </a:ln>
              <a:effectLst/>
            </c:spPr>
            <c:txPr>
              <a:bodyPr wrap="square" lIns="38100" tIns="19050" rIns="38100" bIns="19050" anchor="ctr">
                <a:spAutoFit/>
              </a:bodyPr>
              <a:lstStyle/>
              <a:p>
                <a:pPr>
                  <a:defRPr sz="902"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nasilje u djetinjstvu</c:v>
                </c:pt>
                <c:pt idx="1">
                  <c:v>upotreba opojnih sredstava</c:v>
                </c:pt>
                <c:pt idx="2">
                  <c:v>ovisnost o igrama na sreću</c:v>
                </c:pt>
                <c:pt idx="3">
                  <c:v>nizak obrazovni status</c:v>
                </c:pt>
                <c:pt idx="4">
                  <c:v>historija drugih krivičnih djela i prekršaja</c:v>
                </c:pt>
                <c:pt idx="5">
                  <c:v>neravnopravni položaj</c:v>
                </c:pt>
                <c:pt idx="6">
                  <c:v>ekonomska ovisnost</c:v>
                </c:pt>
              </c:strCache>
            </c:strRef>
          </c:cat>
          <c:val>
            <c:numRef>
              <c:f>Sheet1!$B$2:$B$8</c:f>
              <c:numCache>
                <c:formatCode>General</c:formatCode>
                <c:ptCount val="7"/>
                <c:pt idx="0">
                  <c:v>30</c:v>
                </c:pt>
                <c:pt idx="1">
                  <c:v>43</c:v>
                </c:pt>
                <c:pt idx="2">
                  <c:v>11</c:v>
                </c:pt>
                <c:pt idx="3">
                  <c:v>13</c:v>
                </c:pt>
                <c:pt idx="4">
                  <c:v>30</c:v>
                </c:pt>
                <c:pt idx="5">
                  <c:v>80</c:v>
                </c:pt>
                <c:pt idx="6">
                  <c:v>40</c:v>
                </c:pt>
              </c:numCache>
            </c:numRef>
          </c:val>
          <c:extLst>
            <c:ext xmlns:c16="http://schemas.microsoft.com/office/drawing/2014/chart" uri="{C3380CC4-5D6E-409C-BE32-E72D297353CC}">
              <c16:uniqueId val="{00000007-D1AC-42E4-85A3-573726975023}"/>
            </c:ext>
          </c:extLst>
        </c:ser>
        <c:dLbls>
          <c:showLegendKey val="0"/>
          <c:showVal val="0"/>
          <c:showCatName val="0"/>
          <c:showSerName val="0"/>
          <c:showPercent val="0"/>
          <c:showBubbleSize val="0"/>
        </c:dLbls>
        <c:gapWidth val="150"/>
        <c:overlap val="100"/>
        <c:axId val="1619705344"/>
        <c:axId val="1"/>
      </c:barChart>
      <c:catAx>
        <c:axId val="1619705344"/>
        <c:scaling>
          <c:orientation val="minMax"/>
        </c:scaling>
        <c:delete val="0"/>
        <c:axPos val="l"/>
        <c:numFmt formatCode="General" sourceLinked="1"/>
        <c:majorTickMark val="none"/>
        <c:minorTickMark val="none"/>
        <c:tickLblPos val="nextTo"/>
        <c:spPr>
          <a:noFill/>
          <a:ln w="9541" cap="flat" cmpd="sng" algn="ctr">
            <a:solidFill>
              <a:schemeClr val="tx1">
                <a:lumMod val="15000"/>
                <a:lumOff val="85000"/>
              </a:schemeClr>
            </a:solidFill>
            <a:round/>
          </a:ln>
          <a:effectLst/>
        </c:spPr>
        <c:txPr>
          <a:bodyPr rot="0" vert="horz"/>
          <a:lstStyle/>
          <a:p>
            <a:pPr>
              <a:defRPr sz="902"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619705344"/>
        <c:crosses val="autoZero"/>
        <c:crossBetween val="between"/>
      </c:valAx>
      <c:spPr>
        <a:noFill/>
        <a:ln w="25443">
          <a:noFill/>
        </a:ln>
      </c:spPr>
    </c:plotArea>
    <c:plotVisOnly val="1"/>
    <c:dispBlanksAs val="gap"/>
    <c:showDLblsOverMax val="0"/>
  </c:chart>
  <c:spPr>
    <a:solidFill>
      <a:schemeClr val="bg1"/>
    </a:solidFill>
    <a:ln>
      <a:noFill/>
    </a:ln>
    <a:effectLst/>
  </c:spPr>
  <c:txPr>
    <a:bodyPr/>
    <a:lstStyle/>
    <a:p>
      <a:pPr>
        <a:defRPr sz="1002"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66E2-FF4D-4F46-B18C-693E44F3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17041</Words>
  <Characters>97134</Characters>
  <Application>Microsoft Office Word</Application>
  <DocSecurity>0</DocSecurity>
  <Lines>809</Lines>
  <Paragraphs>227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113948</CharactersWithSpaces>
  <SharedDoc>false</SharedDoc>
  <HLinks>
    <vt:vector size="228" baseType="variant">
      <vt:variant>
        <vt:i4>1245245</vt:i4>
      </vt:variant>
      <vt:variant>
        <vt:i4>224</vt:i4>
      </vt:variant>
      <vt:variant>
        <vt:i4>0</vt:i4>
      </vt:variant>
      <vt:variant>
        <vt:i4>5</vt:i4>
      </vt:variant>
      <vt:variant>
        <vt:lpwstr/>
      </vt:variant>
      <vt:variant>
        <vt:lpwstr>_Toc105488185</vt:lpwstr>
      </vt:variant>
      <vt:variant>
        <vt:i4>1245245</vt:i4>
      </vt:variant>
      <vt:variant>
        <vt:i4>218</vt:i4>
      </vt:variant>
      <vt:variant>
        <vt:i4>0</vt:i4>
      </vt:variant>
      <vt:variant>
        <vt:i4>5</vt:i4>
      </vt:variant>
      <vt:variant>
        <vt:lpwstr/>
      </vt:variant>
      <vt:variant>
        <vt:lpwstr>_Toc105488184</vt:lpwstr>
      </vt:variant>
      <vt:variant>
        <vt:i4>1245245</vt:i4>
      </vt:variant>
      <vt:variant>
        <vt:i4>212</vt:i4>
      </vt:variant>
      <vt:variant>
        <vt:i4>0</vt:i4>
      </vt:variant>
      <vt:variant>
        <vt:i4>5</vt:i4>
      </vt:variant>
      <vt:variant>
        <vt:lpwstr/>
      </vt:variant>
      <vt:variant>
        <vt:lpwstr>_Toc105488183</vt:lpwstr>
      </vt:variant>
      <vt:variant>
        <vt:i4>1245245</vt:i4>
      </vt:variant>
      <vt:variant>
        <vt:i4>206</vt:i4>
      </vt:variant>
      <vt:variant>
        <vt:i4>0</vt:i4>
      </vt:variant>
      <vt:variant>
        <vt:i4>5</vt:i4>
      </vt:variant>
      <vt:variant>
        <vt:lpwstr/>
      </vt:variant>
      <vt:variant>
        <vt:lpwstr>_Toc105488182</vt:lpwstr>
      </vt:variant>
      <vt:variant>
        <vt:i4>1245245</vt:i4>
      </vt:variant>
      <vt:variant>
        <vt:i4>200</vt:i4>
      </vt:variant>
      <vt:variant>
        <vt:i4>0</vt:i4>
      </vt:variant>
      <vt:variant>
        <vt:i4>5</vt:i4>
      </vt:variant>
      <vt:variant>
        <vt:lpwstr/>
      </vt:variant>
      <vt:variant>
        <vt:lpwstr>_Toc105488181</vt:lpwstr>
      </vt:variant>
      <vt:variant>
        <vt:i4>1245245</vt:i4>
      </vt:variant>
      <vt:variant>
        <vt:i4>194</vt:i4>
      </vt:variant>
      <vt:variant>
        <vt:i4>0</vt:i4>
      </vt:variant>
      <vt:variant>
        <vt:i4>5</vt:i4>
      </vt:variant>
      <vt:variant>
        <vt:lpwstr/>
      </vt:variant>
      <vt:variant>
        <vt:lpwstr>_Toc105488180</vt:lpwstr>
      </vt:variant>
      <vt:variant>
        <vt:i4>1835069</vt:i4>
      </vt:variant>
      <vt:variant>
        <vt:i4>188</vt:i4>
      </vt:variant>
      <vt:variant>
        <vt:i4>0</vt:i4>
      </vt:variant>
      <vt:variant>
        <vt:i4>5</vt:i4>
      </vt:variant>
      <vt:variant>
        <vt:lpwstr/>
      </vt:variant>
      <vt:variant>
        <vt:lpwstr>_Toc105488179</vt:lpwstr>
      </vt:variant>
      <vt:variant>
        <vt:i4>1835069</vt:i4>
      </vt:variant>
      <vt:variant>
        <vt:i4>182</vt:i4>
      </vt:variant>
      <vt:variant>
        <vt:i4>0</vt:i4>
      </vt:variant>
      <vt:variant>
        <vt:i4>5</vt:i4>
      </vt:variant>
      <vt:variant>
        <vt:lpwstr/>
      </vt:variant>
      <vt:variant>
        <vt:lpwstr>_Toc105488178</vt:lpwstr>
      </vt:variant>
      <vt:variant>
        <vt:i4>1835069</vt:i4>
      </vt:variant>
      <vt:variant>
        <vt:i4>176</vt:i4>
      </vt:variant>
      <vt:variant>
        <vt:i4>0</vt:i4>
      </vt:variant>
      <vt:variant>
        <vt:i4>5</vt:i4>
      </vt:variant>
      <vt:variant>
        <vt:lpwstr/>
      </vt:variant>
      <vt:variant>
        <vt:lpwstr>_Toc105488177</vt:lpwstr>
      </vt:variant>
      <vt:variant>
        <vt:i4>1835069</vt:i4>
      </vt:variant>
      <vt:variant>
        <vt:i4>170</vt:i4>
      </vt:variant>
      <vt:variant>
        <vt:i4>0</vt:i4>
      </vt:variant>
      <vt:variant>
        <vt:i4>5</vt:i4>
      </vt:variant>
      <vt:variant>
        <vt:lpwstr/>
      </vt:variant>
      <vt:variant>
        <vt:lpwstr>_Toc105488176</vt:lpwstr>
      </vt:variant>
      <vt:variant>
        <vt:i4>1835069</vt:i4>
      </vt:variant>
      <vt:variant>
        <vt:i4>164</vt:i4>
      </vt:variant>
      <vt:variant>
        <vt:i4>0</vt:i4>
      </vt:variant>
      <vt:variant>
        <vt:i4>5</vt:i4>
      </vt:variant>
      <vt:variant>
        <vt:lpwstr/>
      </vt:variant>
      <vt:variant>
        <vt:lpwstr>_Toc105488175</vt:lpwstr>
      </vt:variant>
      <vt:variant>
        <vt:i4>1835069</vt:i4>
      </vt:variant>
      <vt:variant>
        <vt:i4>158</vt:i4>
      </vt:variant>
      <vt:variant>
        <vt:i4>0</vt:i4>
      </vt:variant>
      <vt:variant>
        <vt:i4>5</vt:i4>
      </vt:variant>
      <vt:variant>
        <vt:lpwstr/>
      </vt:variant>
      <vt:variant>
        <vt:lpwstr>_Toc105488174</vt:lpwstr>
      </vt:variant>
      <vt:variant>
        <vt:i4>1835069</vt:i4>
      </vt:variant>
      <vt:variant>
        <vt:i4>152</vt:i4>
      </vt:variant>
      <vt:variant>
        <vt:i4>0</vt:i4>
      </vt:variant>
      <vt:variant>
        <vt:i4>5</vt:i4>
      </vt:variant>
      <vt:variant>
        <vt:lpwstr/>
      </vt:variant>
      <vt:variant>
        <vt:lpwstr>_Toc105488173</vt:lpwstr>
      </vt:variant>
      <vt:variant>
        <vt:i4>1835069</vt:i4>
      </vt:variant>
      <vt:variant>
        <vt:i4>146</vt:i4>
      </vt:variant>
      <vt:variant>
        <vt:i4>0</vt:i4>
      </vt:variant>
      <vt:variant>
        <vt:i4>5</vt:i4>
      </vt:variant>
      <vt:variant>
        <vt:lpwstr/>
      </vt:variant>
      <vt:variant>
        <vt:lpwstr>_Toc105488172</vt:lpwstr>
      </vt:variant>
      <vt:variant>
        <vt:i4>1835069</vt:i4>
      </vt:variant>
      <vt:variant>
        <vt:i4>140</vt:i4>
      </vt:variant>
      <vt:variant>
        <vt:i4>0</vt:i4>
      </vt:variant>
      <vt:variant>
        <vt:i4>5</vt:i4>
      </vt:variant>
      <vt:variant>
        <vt:lpwstr/>
      </vt:variant>
      <vt:variant>
        <vt:lpwstr>_Toc105488171</vt:lpwstr>
      </vt:variant>
      <vt:variant>
        <vt:i4>1835069</vt:i4>
      </vt:variant>
      <vt:variant>
        <vt:i4>134</vt:i4>
      </vt:variant>
      <vt:variant>
        <vt:i4>0</vt:i4>
      </vt:variant>
      <vt:variant>
        <vt:i4>5</vt:i4>
      </vt:variant>
      <vt:variant>
        <vt:lpwstr/>
      </vt:variant>
      <vt:variant>
        <vt:lpwstr>_Toc105488170</vt:lpwstr>
      </vt:variant>
      <vt:variant>
        <vt:i4>1900605</vt:i4>
      </vt:variant>
      <vt:variant>
        <vt:i4>128</vt:i4>
      </vt:variant>
      <vt:variant>
        <vt:i4>0</vt:i4>
      </vt:variant>
      <vt:variant>
        <vt:i4>5</vt:i4>
      </vt:variant>
      <vt:variant>
        <vt:lpwstr/>
      </vt:variant>
      <vt:variant>
        <vt:lpwstr>_Toc105488169</vt:lpwstr>
      </vt:variant>
      <vt:variant>
        <vt:i4>1900605</vt:i4>
      </vt:variant>
      <vt:variant>
        <vt:i4>122</vt:i4>
      </vt:variant>
      <vt:variant>
        <vt:i4>0</vt:i4>
      </vt:variant>
      <vt:variant>
        <vt:i4>5</vt:i4>
      </vt:variant>
      <vt:variant>
        <vt:lpwstr/>
      </vt:variant>
      <vt:variant>
        <vt:lpwstr>_Toc105488168</vt:lpwstr>
      </vt:variant>
      <vt:variant>
        <vt:i4>1900605</vt:i4>
      </vt:variant>
      <vt:variant>
        <vt:i4>116</vt:i4>
      </vt:variant>
      <vt:variant>
        <vt:i4>0</vt:i4>
      </vt:variant>
      <vt:variant>
        <vt:i4>5</vt:i4>
      </vt:variant>
      <vt:variant>
        <vt:lpwstr/>
      </vt:variant>
      <vt:variant>
        <vt:lpwstr>_Toc105488167</vt:lpwstr>
      </vt:variant>
      <vt:variant>
        <vt:i4>1900605</vt:i4>
      </vt:variant>
      <vt:variant>
        <vt:i4>110</vt:i4>
      </vt:variant>
      <vt:variant>
        <vt:i4>0</vt:i4>
      </vt:variant>
      <vt:variant>
        <vt:i4>5</vt:i4>
      </vt:variant>
      <vt:variant>
        <vt:lpwstr/>
      </vt:variant>
      <vt:variant>
        <vt:lpwstr>_Toc105488166</vt:lpwstr>
      </vt:variant>
      <vt:variant>
        <vt:i4>1900605</vt:i4>
      </vt:variant>
      <vt:variant>
        <vt:i4>104</vt:i4>
      </vt:variant>
      <vt:variant>
        <vt:i4>0</vt:i4>
      </vt:variant>
      <vt:variant>
        <vt:i4>5</vt:i4>
      </vt:variant>
      <vt:variant>
        <vt:lpwstr/>
      </vt:variant>
      <vt:variant>
        <vt:lpwstr>_Toc105488165</vt:lpwstr>
      </vt:variant>
      <vt:variant>
        <vt:i4>1900605</vt:i4>
      </vt:variant>
      <vt:variant>
        <vt:i4>98</vt:i4>
      </vt:variant>
      <vt:variant>
        <vt:i4>0</vt:i4>
      </vt:variant>
      <vt:variant>
        <vt:i4>5</vt:i4>
      </vt:variant>
      <vt:variant>
        <vt:lpwstr/>
      </vt:variant>
      <vt:variant>
        <vt:lpwstr>_Toc105488164</vt:lpwstr>
      </vt:variant>
      <vt:variant>
        <vt:i4>1900605</vt:i4>
      </vt:variant>
      <vt:variant>
        <vt:i4>92</vt:i4>
      </vt:variant>
      <vt:variant>
        <vt:i4>0</vt:i4>
      </vt:variant>
      <vt:variant>
        <vt:i4>5</vt:i4>
      </vt:variant>
      <vt:variant>
        <vt:lpwstr/>
      </vt:variant>
      <vt:variant>
        <vt:lpwstr>_Toc105488163</vt:lpwstr>
      </vt:variant>
      <vt:variant>
        <vt:i4>1900605</vt:i4>
      </vt:variant>
      <vt:variant>
        <vt:i4>86</vt:i4>
      </vt:variant>
      <vt:variant>
        <vt:i4>0</vt:i4>
      </vt:variant>
      <vt:variant>
        <vt:i4>5</vt:i4>
      </vt:variant>
      <vt:variant>
        <vt:lpwstr/>
      </vt:variant>
      <vt:variant>
        <vt:lpwstr>_Toc105488162</vt:lpwstr>
      </vt:variant>
      <vt:variant>
        <vt:i4>1900605</vt:i4>
      </vt:variant>
      <vt:variant>
        <vt:i4>80</vt:i4>
      </vt:variant>
      <vt:variant>
        <vt:i4>0</vt:i4>
      </vt:variant>
      <vt:variant>
        <vt:i4>5</vt:i4>
      </vt:variant>
      <vt:variant>
        <vt:lpwstr/>
      </vt:variant>
      <vt:variant>
        <vt:lpwstr>_Toc105488161</vt:lpwstr>
      </vt:variant>
      <vt:variant>
        <vt:i4>1900605</vt:i4>
      </vt:variant>
      <vt:variant>
        <vt:i4>74</vt:i4>
      </vt:variant>
      <vt:variant>
        <vt:i4>0</vt:i4>
      </vt:variant>
      <vt:variant>
        <vt:i4>5</vt:i4>
      </vt:variant>
      <vt:variant>
        <vt:lpwstr/>
      </vt:variant>
      <vt:variant>
        <vt:lpwstr>_Toc105488160</vt:lpwstr>
      </vt:variant>
      <vt:variant>
        <vt:i4>1966141</vt:i4>
      </vt:variant>
      <vt:variant>
        <vt:i4>68</vt:i4>
      </vt:variant>
      <vt:variant>
        <vt:i4>0</vt:i4>
      </vt:variant>
      <vt:variant>
        <vt:i4>5</vt:i4>
      </vt:variant>
      <vt:variant>
        <vt:lpwstr/>
      </vt:variant>
      <vt:variant>
        <vt:lpwstr>_Toc105488159</vt:lpwstr>
      </vt:variant>
      <vt:variant>
        <vt:i4>1966141</vt:i4>
      </vt:variant>
      <vt:variant>
        <vt:i4>62</vt:i4>
      </vt:variant>
      <vt:variant>
        <vt:i4>0</vt:i4>
      </vt:variant>
      <vt:variant>
        <vt:i4>5</vt:i4>
      </vt:variant>
      <vt:variant>
        <vt:lpwstr/>
      </vt:variant>
      <vt:variant>
        <vt:lpwstr>_Toc105488158</vt:lpwstr>
      </vt:variant>
      <vt:variant>
        <vt:i4>1966141</vt:i4>
      </vt:variant>
      <vt:variant>
        <vt:i4>56</vt:i4>
      </vt:variant>
      <vt:variant>
        <vt:i4>0</vt:i4>
      </vt:variant>
      <vt:variant>
        <vt:i4>5</vt:i4>
      </vt:variant>
      <vt:variant>
        <vt:lpwstr/>
      </vt:variant>
      <vt:variant>
        <vt:lpwstr>_Toc105488157</vt:lpwstr>
      </vt:variant>
      <vt:variant>
        <vt:i4>1966141</vt:i4>
      </vt:variant>
      <vt:variant>
        <vt:i4>50</vt:i4>
      </vt:variant>
      <vt:variant>
        <vt:i4>0</vt:i4>
      </vt:variant>
      <vt:variant>
        <vt:i4>5</vt:i4>
      </vt:variant>
      <vt:variant>
        <vt:lpwstr/>
      </vt:variant>
      <vt:variant>
        <vt:lpwstr>_Toc105488156</vt:lpwstr>
      </vt:variant>
      <vt:variant>
        <vt:i4>1966141</vt:i4>
      </vt:variant>
      <vt:variant>
        <vt:i4>44</vt:i4>
      </vt:variant>
      <vt:variant>
        <vt:i4>0</vt:i4>
      </vt:variant>
      <vt:variant>
        <vt:i4>5</vt:i4>
      </vt:variant>
      <vt:variant>
        <vt:lpwstr/>
      </vt:variant>
      <vt:variant>
        <vt:lpwstr>_Toc105488155</vt:lpwstr>
      </vt:variant>
      <vt:variant>
        <vt:i4>1966141</vt:i4>
      </vt:variant>
      <vt:variant>
        <vt:i4>38</vt:i4>
      </vt:variant>
      <vt:variant>
        <vt:i4>0</vt:i4>
      </vt:variant>
      <vt:variant>
        <vt:i4>5</vt:i4>
      </vt:variant>
      <vt:variant>
        <vt:lpwstr/>
      </vt:variant>
      <vt:variant>
        <vt:lpwstr>_Toc105488154</vt:lpwstr>
      </vt:variant>
      <vt:variant>
        <vt:i4>1966141</vt:i4>
      </vt:variant>
      <vt:variant>
        <vt:i4>32</vt:i4>
      </vt:variant>
      <vt:variant>
        <vt:i4>0</vt:i4>
      </vt:variant>
      <vt:variant>
        <vt:i4>5</vt:i4>
      </vt:variant>
      <vt:variant>
        <vt:lpwstr/>
      </vt:variant>
      <vt:variant>
        <vt:lpwstr>_Toc105488153</vt:lpwstr>
      </vt:variant>
      <vt:variant>
        <vt:i4>1966141</vt:i4>
      </vt:variant>
      <vt:variant>
        <vt:i4>26</vt:i4>
      </vt:variant>
      <vt:variant>
        <vt:i4>0</vt:i4>
      </vt:variant>
      <vt:variant>
        <vt:i4>5</vt:i4>
      </vt:variant>
      <vt:variant>
        <vt:lpwstr/>
      </vt:variant>
      <vt:variant>
        <vt:lpwstr>_Toc105488152</vt:lpwstr>
      </vt:variant>
      <vt:variant>
        <vt:i4>1966141</vt:i4>
      </vt:variant>
      <vt:variant>
        <vt:i4>20</vt:i4>
      </vt:variant>
      <vt:variant>
        <vt:i4>0</vt:i4>
      </vt:variant>
      <vt:variant>
        <vt:i4>5</vt:i4>
      </vt:variant>
      <vt:variant>
        <vt:lpwstr/>
      </vt:variant>
      <vt:variant>
        <vt:lpwstr>_Toc105488151</vt:lpwstr>
      </vt:variant>
      <vt:variant>
        <vt:i4>1966141</vt:i4>
      </vt:variant>
      <vt:variant>
        <vt:i4>14</vt:i4>
      </vt:variant>
      <vt:variant>
        <vt:i4>0</vt:i4>
      </vt:variant>
      <vt:variant>
        <vt:i4>5</vt:i4>
      </vt:variant>
      <vt:variant>
        <vt:lpwstr/>
      </vt:variant>
      <vt:variant>
        <vt:lpwstr>_Toc105488150</vt:lpwstr>
      </vt:variant>
      <vt:variant>
        <vt:i4>2031677</vt:i4>
      </vt:variant>
      <vt:variant>
        <vt:i4>8</vt:i4>
      </vt:variant>
      <vt:variant>
        <vt:i4>0</vt:i4>
      </vt:variant>
      <vt:variant>
        <vt:i4>5</vt:i4>
      </vt:variant>
      <vt:variant>
        <vt:lpwstr/>
      </vt:variant>
      <vt:variant>
        <vt:lpwstr>_Toc105488149</vt:lpwstr>
      </vt:variant>
      <vt:variant>
        <vt:i4>2031677</vt:i4>
      </vt:variant>
      <vt:variant>
        <vt:i4>2</vt:i4>
      </vt:variant>
      <vt:variant>
        <vt:i4>0</vt:i4>
      </vt:variant>
      <vt:variant>
        <vt:i4>5</vt:i4>
      </vt:variant>
      <vt:variant>
        <vt:lpwstr/>
      </vt:variant>
      <vt:variant>
        <vt:lpwstr>_Toc105488148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2</cp:revision>
  <cp:lastPrinted>2023-01-25T09:52:00Z</cp:lastPrinted>
  <dcterms:created xsi:type="dcterms:W3CDTF">2024-02-19T07:57:00Z</dcterms:created>
  <dcterms:modified xsi:type="dcterms:W3CDTF">2024-02-19T07:57:00Z</dcterms:modified>
</cp:coreProperties>
</file>